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737" w:rsidRPr="005C3297" w:rsidRDefault="00E66FFD" w:rsidP="005C3297">
      <w:pPr>
        <w:spacing w:before="120"/>
        <w:ind w:left="-360" w:right="-18" w:hanging="360"/>
        <w:jc w:val="right"/>
        <w:rPr>
          <w:lang w:val="ro-RO"/>
        </w:rPr>
      </w:pPr>
      <w:r w:rsidRPr="00971A06">
        <w:rPr>
          <w:lang w:val="ro-RO"/>
        </w:rPr>
        <w:tab/>
      </w:r>
      <w:r w:rsidRPr="00971A06">
        <w:rPr>
          <w:lang w:val="ro-RO"/>
        </w:rPr>
        <w:tab/>
      </w:r>
      <w:r w:rsidR="00117AFB">
        <w:rPr>
          <w:lang w:val="ro-RO"/>
        </w:rPr>
        <w:t xml:space="preserve">  Nr.</w:t>
      </w:r>
      <w:r w:rsidR="005C3297">
        <w:rPr>
          <w:lang w:val="ro-RO"/>
        </w:rPr>
        <w:t>53</w:t>
      </w:r>
      <w:r w:rsidR="00C83737">
        <w:rPr>
          <w:lang w:val="ro-RO"/>
        </w:rPr>
        <w:t>/1278/2019</w:t>
      </w:r>
      <w:r w:rsidR="00C83737" w:rsidRPr="00E649EC">
        <w:rPr>
          <w:lang w:val="ro-RO"/>
        </w:rPr>
        <w:t>/</w:t>
      </w:r>
      <w:r w:rsidR="005C3297">
        <w:rPr>
          <w:lang w:val="ro-RO"/>
        </w:rPr>
        <w:t>31.12.2019</w:t>
      </w:r>
    </w:p>
    <w:tbl>
      <w:tblPr>
        <w:tblStyle w:val="TableGrid"/>
        <w:tblpPr w:leftFromText="180" w:rightFromText="180" w:vertAnchor="text" w:tblpX="524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tblGrid>
      <w:tr w:rsidR="00C83737" w:rsidRPr="00E649EC" w:rsidTr="00C83737">
        <w:tc>
          <w:tcPr>
            <w:tcW w:w="3618" w:type="dxa"/>
          </w:tcPr>
          <w:p w:rsidR="00C83737" w:rsidRPr="00E649EC" w:rsidRDefault="00C83737" w:rsidP="00C83737">
            <w:pPr>
              <w:tabs>
                <w:tab w:val="left" w:pos="3420"/>
              </w:tabs>
              <w:spacing w:before="120"/>
              <w:ind w:left="-360" w:right="-18" w:hanging="360"/>
              <w:jc w:val="right"/>
              <w:rPr>
                <w:b/>
                <w:lang w:val="ro-RO"/>
              </w:rPr>
            </w:pPr>
          </w:p>
        </w:tc>
      </w:tr>
    </w:tbl>
    <w:p w:rsidR="00C83737" w:rsidRDefault="00C83737" w:rsidP="005C3297">
      <w:pPr>
        <w:spacing w:before="120"/>
        <w:ind w:left="0" w:right="417"/>
        <w:rPr>
          <w:b/>
          <w:lang w:val="ro-RO"/>
        </w:rPr>
      </w:pPr>
    </w:p>
    <w:p w:rsidR="00C83737" w:rsidRPr="00E649EC" w:rsidRDefault="00C83737" w:rsidP="00117AFB">
      <w:pPr>
        <w:spacing w:before="120"/>
        <w:ind w:left="-360" w:right="417" w:hanging="360"/>
        <w:jc w:val="right"/>
        <w:rPr>
          <w:b/>
          <w:lang w:val="ro-RO"/>
        </w:rPr>
      </w:pPr>
      <w:r w:rsidRPr="00E649EC">
        <w:rPr>
          <w:b/>
          <w:lang w:val="ro-RO"/>
        </w:rPr>
        <w:t>CAIET DE SARCINI</w:t>
      </w:r>
    </w:p>
    <w:p w:rsidR="00C83737" w:rsidRPr="001457C7" w:rsidRDefault="00C83737" w:rsidP="00C83737">
      <w:pPr>
        <w:pStyle w:val="ListParagraph"/>
        <w:numPr>
          <w:ilvl w:val="0"/>
          <w:numId w:val="3"/>
        </w:numPr>
        <w:spacing w:before="120" w:after="0" w:line="240" w:lineRule="auto"/>
        <w:ind w:left="-360" w:right="-18"/>
        <w:rPr>
          <w:b/>
          <w:u w:val="single"/>
          <w:lang w:val="ro-RO"/>
        </w:rPr>
      </w:pPr>
      <w:r w:rsidRPr="001457C7">
        <w:rPr>
          <w:b/>
          <w:u w:val="single"/>
          <w:lang w:val="ro-RO"/>
        </w:rPr>
        <w:t>Introducere</w:t>
      </w:r>
    </w:p>
    <w:p w:rsidR="00C83737" w:rsidRPr="002019AF" w:rsidRDefault="00C83737" w:rsidP="00C83737">
      <w:pPr>
        <w:pStyle w:val="ListParagraph"/>
        <w:numPr>
          <w:ilvl w:val="0"/>
          <w:numId w:val="5"/>
        </w:numPr>
        <w:spacing w:after="0" w:line="240" w:lineRule="auto"/>
        <w:ind w:left="-360" w:right="-18"/>
        <w:rPr>
          <w:lang w:val="ro-RO"/>
        </w:rPr>
      </w:pPr>
      <w:r w:rsidRPr="002019AF">
        <w:rPr>
          <w:lang w:val="ro-RO"/>
        </w:rPr>
        <w:t>Prezentul caiet de sarcini conține specificații tehnice și indicații privind regulile de bază care trebuie respectate, astfel încât potențialii operatori economici să elaboreze o propunere tehnică corespunzătoare prin raportare la necesitățile autorității contractante.</w:t>
      </w:r>
    </w:p>
    <w:p w:rsidR="00C83737" w:rsidRPr="002019AF" w:rsidRDefault="00C83737" w:rsidP="00C83737">
      <w:pPr>
        <w:pStyle w:val="ListParagraph"/>
        <w:numPr>
          <w:ilvl w:val="0"/>
          <w:numId w:val="5"/>
        </w:numPr>
        <w:spacing w:before="120" w:after="0" w:line="240" w:lineRule="auto"/>
        <w:ind w:left="-360" w:right="-18"/>
        <w:rPr>
          <w:lang w:val="ro-RO"/>
        </w:rPr>
      </w:pPr>
      <w:r w:rsidRPr="002019AF">
        <w:rPr>
          <w:lang w:val="ro-RO"/>
        </w:rPr>
        <w:t>Cerințele impuse vor fi considerate ca fiind minimale și obligatorii.</w:t>
      </w:r>
    </w:p>
    <w:p w:rsidR="00C83737" w:rsidRPr="002019AF" w:rsidRDefault="00C83737" w:rsidP="00C83737">
      <w:pPr>
        <w:pStyle w:val="ListParagraph"/>
        <w:numPr>
          <w:ilvl w:val="0"/>
          <w:numId w:val="5"/>
        </w:numPr>
        <w:spacing w:before="120" w:after="0" w:line="240" w:lineRule="auto"/>
        <w:ind w:left="-360" w:right="-18"/>
        <w:rPr>
          <w:lang w:val="ro-RO"/>
        </w:rPr>
      </w:pPr>
      <w:r w:rsidRPr="002019AF">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rsidR="00C83737" w:rsidRPr="00117AFB" w:rsidRDefault="00C83737" w:rsidP="00117AFB">
      <w:pPr>
        <w:pStyle w:val="ListParagraph"/>
        <w:numPr>
          <w:ilvl w:val="0"/>
          <w:numId w:val="5"/>
        </w:numPr>
        <w:spacing w:before="120" w:after="0" w:line="240" w:lineRule="auto"/>
        <w:ind w:left="-360" w:right="-18"/>
        <w:rPr>
          <w:lang w:val="ro-RO"/>
        </w:rPr>
      </w:pPr>
      <w:r w:rsidRPr="002019AF">
        <w:rPr>
          <w:lang w:val="ro-RO"/>
        </w:rPr>
        <w:t>Oferta este considerată neconformă dacă nu satisface în mod corespunzător cerințele caietului de sarcini.</w:t>
      </w:r>
    </w:p>
    <w:p w:rsidR="00C83737" w:rsidRPr="001457C7" w:rsidRDefault="00C83737" w:rsidP="00C83737">
      <w:pPr>
        <w:pStyle w:val="ListParagraph"/>
        <w:numPr>
          <w:ilvl w:val="0"/>
          <w:numId w:val="3"/>
        </w:numPr>
        <w:spacing w:before="120" w:after="0" w:line="240" w:lineRule="auto"/>
        <w:ind w:left="-360" w:right="49"/>
        <w:rPr>
          <w:b/>
          <w:u w:val="single"/>
          <w:lang w:val="ro-RO"/>
        </w:rPr>
      </w:pPr>
      <w:r w:rsidRPr="001457C7">
        <w:rPr>
          <w:b/>
          <w:u w:val="single"/>
          <w:lang w:val="ro-RO"/>
        </w:rPr>
        <w:t>Informații generale</w:t>
      </w:r>
    </w:p>
    <w:p w:rsidR="00C83737" w:rsidRPr="002019AF" w:rsidRDefault="00C83737" w:rsidP="00C83737">
      <w:pPr>
        <w:spacing w:before="120" w:after="0" w:line="240" w:lineRule="auto"/>
        <w:ind w:left="-360" w:right="49" w:hanging="360"/>
        <w:rPr>
          <w:b/>
          <w:lang w:val="ro-RO"/>
        </w:rPr>
      </w:pPr>
      <w:r w:rsidRPr="003A5246">
        <w:rPr>
          <w:lang w:val="ro-RO"/>
        </w:rPr>
        <w:t>2.1.</w:t>
      </w:r>
      <w:r w:rsidRPr="001457C7">
        <w:rPr>
          <w:b/>
          <w:lang w:val="ro-RO"/>
        </w:rPr>
        <w:t xml:space="preserve"> </w:t>
      </w:r>
      <w:r w:rsidRPr="001457C7">
        <w:rPr>
          <w:lang w:val="ro-RO"/>
        </w:rPr>
        <w:t>Autoritatea contractantă este Agenția Națională de Administrare a Bunurilor Indisponibilizate (</w:t>
      </w:r>
      <w:r w:rsidR="00B82133">
        <w:rPr>
          <w:lang w:val="ro-RO"/>
        </w:rPr>
        <w:t xml:space="preserve">denumită în continuare </w:t>
      </w:r>
      <w:r>
        <w:rPr>
          <w:lang w:val="ro-RO"/>
        </w:rPr>
        <w:t>ANABI</w:t>
      </w:r>
      <w:r w:rsidR="00F91B22">
        <w:rPr>
          <w:lang w:val="ro-RO"/>
        </w:rPr>
        <w:t xml:space="preserve"> sau Agenția</w:t>
      </w:r>
      <w:r w:rsidRPr="001457C7">
        <w:rPr>
          <w:lang w:val="ro-RO"/>
        </w:rPr>
        <w:t>), cu sediul în municipiul București</w:t>
      </w:r>
      <w:r>
        <w:rPr>
          <w:lang w:val="ro-RO"/>
        </w:rPr>
        <w:t>,</w:t>
      </w:r>
      <w:r w:rsidRPr="001457C7">
        <w:rPr>
          <w:lang w:val="ro-RO"/>
        </w:rPr>
        <w:t xml:space="preserve"> </w:t>
      </w:r>
      <w:r>
        <w:rPr>
          <w:lang w:val="ro-RO"/>
        </w:rPr>
        <w:t>b</w:t>
      </w:r>
      <w:r w:rsidRPr="001457C7">
        <w:rPr>
          <w:lang w:val="ro-RO"/>
        </w:rPr>
        <w:t>-dul Regina Elisabeta nr. 3,</w:t>
      </w:r>
      <w:r>
        <w:rPr>
          <w:lang w:val="ro-RO"/>
        </w:rPr>
        <w:t xml:space="preserve"> etajele 3 și 5,</w:t>
      </w:r>
      <w:r w:rsidRPr="001457C7">
        <w:rPr>
          <w:lang w:val="ro-RO"/>
        </w:rPr>
        <w:t xml:space="preserve"> sector 3, cod poștal 030015, telefon: 0372.573.000 și fax: 0372.271.435.</w:t>
      </w:r>
    </w:p>
    <w:p w:rsidR="00C83737" w:rsidRPr="0072452C" w:rsidRDefault="00C83737" w:rsidP="00C83737">
      <w:pPr>
        <w:spacing w:before="120" w:after="0" w:line="240" w:lineRule="auto"/>
        <w:ind w:left="-360" w:right="49" w:hanging="360"/>
        <w:rPr>
          <w:lang w:val="ro-RO"/>
        </w:rPr>
      </w:pPr>
      <w:r w:rsidRPr="0072452C">
        <w:rPr>
          <w:lang w:val="ro-RO"/>
        </w:rPr>
        <w:t>2.2. Descrierea cadrului existent din sectorul relevant.</w:t>
      </w:r>
    </w:p>
    <w:p w:rsidR="00C83737" w:rsidRPr="001457C7" w:rsidRDefault="00C83737" w:rsidP="00C83737">
      <w:pPr>
        <w:spacing w:before="120" w:after="0" w:line="240" w:lineRule="auto"/>
        <w:ind w:left="-360" w:right="49" w:hanging="360"/>
        <w:rPr>
          <w:strike/>
          <w:lang w:val="ro-RO"/>
        </w:rPr>
      </w:pPr>
      <w:r>
        <w:rPr>
          <w:lang w:val="ro-RO"/>
        </w:rPr>
        <w:t xml:space="preserve">2.2.1 </w:t>
      </w:r>
      <w:r w:rsidRPr="001457C7">
        <w:rPr>
          <w:lang w:val="ro-RO"/>
        </w:rPr>
        <w:t>Agenția Națională de Administrare</w:t>
      </w:r>
      <w:r>
        <w:rPr>
          <w:lang w:val="ro-RO"/>
        </w:rPr>
        <w:t xml:space="preserve"> a Bunurilor Indisponibilizate </w:t>
      </w:r>
      <w:r w:rsidRPr="001457C7">
        <w:rPr>
          <w:lang w:val="ro-RO"/>
        </w:rPr>
        <w:t xml:space="preserve">este o instituție publică de interes național, cu personalitate juridică, în subordinea Ministerului Justiției. </w:t>
      </w:r>
    </w:p>
    <w:p w:rsidR="00C83737" w:rsidRPr="001457C7" w:rsidRDefault="00C83737" w:rsidP="00C83737">
      <w:pPr>
        <w:spacing w:before="120" w:after="0" w:line="240" w:lineRule="auto"/>
        <w:ind w:left="-360" w:right="49" w:hanging="360"/>
        <w:rPr>
          <w:strike/>
          <w:lang w:val="ro-RO"/>
        </w:rPr>
      </w:pPr>
      <w:r>
        <w:rPr>
          <w:noProof/>
          <w:lang w:val="ro-RO"/>
        </w:rPr>
        <w:t xml:space="preserve">2.2.2 </w:t>
      </w:r>
      <w:r w:rsidRPr="001457C7">
        <w:rPr>
          <w:noProof/>
          <w:lang w:val="ro-RO"/>
        </w:rPr>
        <w:t xml:space="preserve">În conformitate cu prevederile </w:t>
      </w:r>
      <w:r w:rsidRPr="001457C7">
        <w:rPr>
          <w:b/>
          <w:noProof/>
          <w:lang w:val="ro-RO"/>
        </w:rPr>
        <w:t>art. 29 alin. (1) din Legea nr. 318/2015</w:t>
      </w:r>
      <w:r w:rsidRPr="001457C7">
        <w:rPr>
          <w:noProof/>
          <w:lang w:val="ro-RO"/>
        </w:rPr>
        <w:t xml:space="preserve"> privind înființarea, organizarea și funcționarea </w:t>
      </w:r>
      <w:r>
        <w:rPr>
          <w:rFonts w:cs="Arial"/>
          <w:noProof/>
          <w:lang w:val="ro-RO"/>
        </w:rPr>
        <w:t>ANABI,</w:t>
      </w:r>
      <w:r w:rsidRPr="001457C7">
        <w:rPr>
          <w:rFonts w:cs="Arial"/>
          <w:noProof/>
          <w:lang w:val="ro-RO"/>
        </w:rPr>
        <w:t xml:space="preserve"> ”</w:t>
      </w:r>
      <w:r w:rsidRPr="001457C7">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Pr="001457C7">
        <w:rPr>
          <w:rFonts w:cs="Arial"/>
          <w:i/>
          <w:noProof/>
          <w:vertAlign w:val="superscript"/>
          <w:lang w:val="ro-RO"/>
        </w:rPr>
        <w:t>1</w:t>
      </w:r>
      <w:r w:rsidRPr="001457C7">
        <w:rPr>
          <w:rFonts w:cs="Arial"/>
          <w:i/>
          <w:noProof/>
          <w:lang w:val="ro-RO"/>
        </w:rPr>
        <w:t xml:space="preserve"> din Legea nr. 135/2010, cu modificările şi completările ulterioare, precum şi cu cele aduse prin prezenta lege”.</w:t>
      </w:r>
    </w:p>
    <w:p w:rsidR="00C83737" w:rsidRPr="0022508F" w:rsidRDefault="00C83737" w:rsidP="00C83737">
      <w:pPr>
        <w:spacing w:before="120" w:after="0" w:line="240" w:lineRule="auto"/>
        <w:ind w:left="-360" w:hanging="360"/>
        <w:rPr>
          <w:noProof/>
          <w:color w:val="000000" w:themeColor="text1"/>
          <w:lang w:val="ro-RO"/>
        </w:rPr>
      </w:pPr>
      <w:r>
        <w:rPr>
          <w:noProof/>
          <w:lang w:val="ro-RO"/>
        </w:rPr>
        <w:t xml:space="preserve">2.2.3 </w:t>
      </w:r>
      <w:r w:rsidRPr="001457C7">
        <w:rPr>
          <w:noProof/>
          <w:lang w:val="ro-RO"/>
        </w:rPr>
        <w:t xml:space="preserve">Potrivit dispozițiilor </w:t>
      </w:r>
      <w:r w:rsidRPr="007A04D0">
        <w:rPr>
          <w:noProof/>
          <w:lang w:val="ro-RO"/>
        </w:rPr>
        <w:t>art. 2</w:t>
      </w:r>
      <w:r w:rsidR="007A04D0" w:rsidRPr="007A04D0">
        <w:rPr>
          <w:noProof/>
          <w:lang w:val="ro-RO"/>
        </w:rPr>
        <w:t>8</w:t>
      </w:r>
      <w:r w:rsidRPr="007A04D0">
        <w:rPr>
          <w:noProof/>
          <w:lang w:val="ro-RO"/>
        </w:rPr>
        <w:t xml:space="preserve"> alin. (</w:t>
      </w:r>
      <w:r w:rsidR="007A04D0" w:rsidRPr="007A04D0">
        <w:rPr>
          <w:noProof/>
          <w:lang w:val="ro-RO"/>
        </w:rPr>
        <w:t>1</w:t>
      </w:r>
      <w:r w:rsidRPr="007A04D0">
        <w:rPr>
          <w:noProof/>
          <w:lang w:val="ro-RO"/>
        </w:rPr>
        <w:t>)</w:t>
      </w:r>
      <w:r w:rsidR="007A04D0">
        <w:rPr>
          <w:b/>
          <w:noProof/>
          <w:lang w:val="ro-RO"/>
        </w:rPr>
        <w:t xml:space="preserve"> </w:t>
      </w:r>
      <w:r w:rsidR="007A04D0" w:rsidRPr="001457C7">
        <w:rPr>
          <w:b/>
          <w:noProof/>
          <w:lang w:val="ro-RO"/>
        </w:rPr>
        <w:t>din Legea nr. 318/2015</w:t>
      </w:r>
      <w:r w:rsidRPr="001457C7">
        <w:rPr>
          <w:noProof/>
          <w:lang w:val="ro-RO"/>
        </w:rPr>
        <w:t xml:space="preserve">, </w:t>
      </w:r>
      <w:r w:rsidR="007A04D0">
        <w:rPr>
          <w:noProof/>
          <w:lang w:val="ro-RO"/>
        </w:rPr>
        <w:t xml:space="preserve">conform căruia </w:t>
      </w:r>
      <w:r w:rsidRPr="0022508F">
        <w:rPr>
          <w:noProof/>
          <w:lang w:val="ro-RO"/>
        </w:rPr>
        <w:t>”</w:t>
      </w:r>
      <w:r w:rsidR="007A04D0" w:rsidRPr="0022508F">
        <w:t>la solicitarea procurorului sau a instanţei de judecată, Agenţia depozitează temporar</w:t>
      </w:r>
      <w:r w:rsidR="007A04D0">
        <w:t xml:space="preserve"> şi administrează bunurile mobile indisponibilizate a căror valoare individuală depăşeşte, la momentul dispunerii măsurii asigurătorii, echivalentul în lei al sumei de 15.000 euro; în acest scop, Agenţia este numită custode, în sensul art. 252 alin. (9) din Legea nr. 135/2010, cu modificările şi completările ulterioare</w:t>
      </w:r>
      <w:r w:rsidRPr="0022508F">
        <w:rPr>
          <w:i/>
          <w:noProof/>
          <w:color w:val="000000" w:themeColor="text1"/>
          <w:lang w:val="ro-RO"/>
        </w:rPr>
        <w:t>”</w:t>
      </w:r>
      <w:r w:rsidR="0022508F" w:rsidRPr="0022508F">
        <w:rPr>
          <w:i/>
          <w:noProof/>
          <w:color w:val="000000" w:themeColor="text1"/>
          <w:lang w:val="ro-RO"/>
        </w:rPr>
        <w:t>.</w:t>
      </w:r>
    </w:p>
    <w:p w:rsidR="00C83737" w:rsidRPr="005B45D3" w:rsidRDefault="00C83737" w:rsidP="00C83737">
      <w:pPr>
        <w:pStyle w:val="ListParagraph"/>
        <w:numPr>
          <w:ilvl w:val="2"/>
          <w:numId w:val="6"/>
        </w:numPr>
        <w:spacing w:before="120" w:after="0" w:line="240" w:lineRule="auto"/>
        <w:ind w:left="-360" w:hanging="360"/>
        <w:rPr>
          <w:rStyle w:val="l5def1"/>
          <w:rFonts w:ascii="Trebuchet MS" w:hAnsi="Trebuchet MS"/>
          <w:noProof/>
          <w:sz w:val="22"/>
          <w:szCs w:val="22"/>
          <w:lang w:val="ro-RO"/>
        </w:rPr>
      </w:pPr>
      <w:r>
        <w:rPr>
          <w:rFonts w:cs="Arial"/>
          <w:noProof/>
          <w:lang w:val="ro-RO"/>
        </w:rPr>
        <w:t xml:space="preserve">Potrivit </w:t>
      </w:r>
      <w:r>
        <w:rPr>
          <w:lang w:val="ro-RO"/>
        </w:rPr>
        <w:t>prevederilor art. 28</w:t>
      </w:r>
      <w:r w:rsidRPr="00D20D33">
        <w:rPr>
          <w:lang w:val="ro-RO"/>
        </w:rPr>
        <w:t xml:space="preserve"> alin. (</w:t>
      </w:r>
      <w:r>
        <w:rPr>
          <w:lang w:val="ro-RO"/>
        </w:rPr>
        <w:t>3</w:t>
      </w:r>
      <w:r w:rsidRPr="00D20D33">
        <w:rPr>
          <w:lang w:val="ro-RO"/>
        </w:rPr>
        <w:t>)</w:t>
      </w:r>
      <w:r w:rsidRPr="00AA1C88">
        <w:rPr>
          <w:lang w:val="ro-RO"/>
        </w:rPr>
        <w:t xml:space="preserve"> </w:t>
      </w:r>
      <w:r>
        <w:rPr>
          <w:lang w:val="ro-RO"/>
        </w:rPr>
        <w:t>din Legea nr. 318/2015</w:t>
      </w:r>
      <w:r>
        <w:rPr>
          <w:rStyle w:val="FootnoteReference"/>
          <w:lang w:val="ro-RO"/>
        </w:rPr>
        <w:footnoteReference w:id="2"/>
      </w:r>
      <w:r>
        <w:rPr>
          <w:lang w:val="ro-RO"/>
        </w:rPr>
        <w:t>:</w:t>
      </w:r>
      <w:r>
        <w:t xml:space="preserve"> ”</w:t>
      </w:r>
      <w:r w:rsidRPr="009374C2">
        <w:rPr>
          <w:i/>
        </w:rPr>
        <w:t>în îndeplinirea atribuţiei prevăzute la alin. (1)</w:t>
      </w:r>
      <w:r>
        <w:rPr>
          <w:rStyle w:val="FootnoteReference"/>
          <w:i/>
        </w:rPr>
        <w:footnoteReference w:id="3"/>
      </w:r>
      <w:r w:rsidRPr="009374C2">
        <w:rPr>
          <w:i/>
        </w:rPr>
        <w:t>, Agenţia poate încheia contracte de achiziţii publice cu respectarea prevederilor legale în domeniu. Cheltuielile ocazionate de depozitarea şi administrarea bunurilor mobile sechestrate sunt</w:t>
      </w:r>
      <w:r>
        <w:rPr>
          <w:i/>
        </w:rPr>
        <w:t xml:space="preserve"> suportate din bugetul Agenţiei”;</w:t>
      </w:r>
      <w:r w:rsidRPr="005B45D3">
        <w:rPr>
          <w:rFonts w:cs="Arial"/>
          <w:noProof/>
          <w:lang w:val="ro-RO"/>
        </w:rPr>
        <w:t xml:space="preserve"> </w:t>
      </w:r>
    </w:p>
    <w:p w:rsidR="00C83737" w:rsidRDefault="00C83737" w:rsidP="002E1F3A">
      <w:pPr>
        <w:pStyle w:val="ListParagraph"/>
        <w:numPr>
          <w:ilvl w:val="2"/>
          <w:numId w:val="6"/>
        </w:numPr>
        <w:tabs>
          <w:tab w:val="left" w:pos="0"/>
        </w:tabs>
        <w:spacing w:before="120" w:after="0" w:line="240" w:lineRule="auto"/>
        <w:ind w:left="-360" w:hanging="360"/>
        <w:rPr>
          <w:lang w:val="ro-RO"/>
        </w:rPr>
      </w:pPr>
      <w:r w:rsidRPr="00F673C6">
        <w:rPr>
          <w:lang w:val="ro-RO"/>
        </w:rPr>
        <w:lastRenderedPageBreak/>
        <w:t xml:space="preserve">În acest context, în vederea îndeplinirii de către </w:t>
      </w:r>
      <w:r w:rsidR="00362C57">
        <w:rPr>
          <w:lang w:val="ro-RO"/>
        </w:rPr>
        <w:t>ANABI</w:t>
      </w:r>
      <w:r w:rsidRPr="00F673C6">
        <w:rPr>
          <w:lang w:val="ro-RO"/>
        </w:rPr>
        <w:t xml:space="preserve"> a atribuțiilor prevăzute la art. 2</w:t>
      </w:r>
      <w:r>
        <w:rPr>
          <w:lang w:val="ro-RO"/>
        </w:rPr>
        <w:t>8</w:t>
      </w:r>
      <w:r w:rsidRPr="00F673C6">
        <w:rPr>
          <w:lang w:val="ro-RO"/>
        </w:rPr>
        <w:t xml:space="preserve"> alin. (</w:t>
      </w:r>
      <w:r>
        <w:rPr>
          <w:lang w:val="ro-RO"/>
        </w:rPr>
        <w:t>3</w:t>
      </w:r>
      <w:r w:rsidRPr="00F673C6">
        <w:rPr>
          <w:lang w:val="ro-RO"/>
        </w:rPr>
        <w:t xml:space="preserve">) din Legea nr. 318/2015, pentru </w:t>
      </w:r>
      <w:r>
        <w:rPr>
          <w:lang w:val="ro-RO"/>
        </w:rPr>
        <w:t>realizarea constatării tehnice cu privire la defecțiunea survenită la unul dintre bunurile mobile aflate în administrarea Agenției, se impune nece</w:t>
      </w:r>
      <w:r w:rsidR="00362C57">
        <w:rPr>
          <w:lang w:val="ro-RO"/>
        </w:rPr>
        <w:t xml:space="preserve">sitatea contractării de </w:t>
      </w:r>
      <w:r>
        <w:rPr>
          <w:lang w:val="ro-RO"/>
        </w:rPr>
        <w:t>servicii de constatare tehnică din partea unui operator autorizat.</w:t>
      </w:r>
    </w:p>
    <w:p w:rsidR="00C83737" w:rsidRDefault="00C83737" w:rsidP="00C83737">
      <w:pPr>
        <w:spacing w:before="120" w:after="0" w:line="240" w:lineRule="auto"/>
        <w:ind w:left="-360" w:right="49" w:hanging="360"/>
        <w:rPr>
          <w:b/>
          <w:u w:val="single"/>
          <w:lang w:val="ro-RO"/>
        </w:rPr>
      </w:pPr>
      <w:r w:rsidRPr="001457C7">
        <w:rPr>
          <w:b/>
          <w:lang w:val="ro-RO"/>
        </w:rPr>
        <w:t xml:space="preserve">3. </w:t>
      </w:r>
      <w:r w:rsidRPr="001457C7">
        <w:rPr>
          <w:b/>
          <w:u w:val="single"/>
          <w:lang w:val="ro-RO"/>
        </w:rPr>
        <w:t>Obiectul achiziției</w:t>
      </w:r>
    </w:p>
    <w:p w:rsidR="00C83737" w:rsidRDefault="00C83737" w:rsidP="00C83737">
      <w:pPr>
        <w:spacing w:before="120" w:after="0" w:line="240" w:lineRule="auto"/>
        <w:ind w:left="-360" w:right="49" w:hanging="360"/>
        <w:rPr>
          <w:b/>
          <w:u w:val="single"/>
          <w:lang w:val="ro-RO"/>
        </w:rPr>
      </w:pPr>
      <w:r w:rsidRPr="00EF5AD6">
        <w:rPr>
          <w:lang w:val="ro-RO"/>
        </w:rPr>
        <w:t>3.1. Obiectul</w:t>
      </w:r>
      <w:r w:rsidRPr="001457C7">
        <w:rPr>
          <w:lang w:val="ro-RO"/>
        </w:rPr>
        <w:t xml:space="preserve"> achiziției îl reprezintă </w:t>
      </w:r>
      <w:r w:rsidRPr="001457C7">
        <w:rPr>
          <w:color w:val="000000" w:themeColor="text1"/>
          <w:lang w:val="ro-RO"/>
        </w:rPr>
        <w:t xml:space="preserve">prestarea de </w:t>
      </w:r>
      <w:r w:rsidRPr="00E074B6">
        <w:rPr>
          <w:b/>
          <w:color w:val="000000" w:themeColor="text1"/>
          <w:lang w:val="ro-RO"/>
        </w:rPr>
        <w:t xml:space="preserve">servicii </w:t>
      </w:r>
      <w:r w:rsidRPr="00E074B6">
        <w:rPr>
          <w:rFonts w:cs="Arial"/>
          <w:b/>
          <w:lang w:val="ro-RO"/>
        </w:rPr>
        <w:t>de constatare tehnică</w:t>
      </w:r>
      <w:r w:rsidR="00AC5DA8" w:rsidRPr="00E074B6">
        <w:rPr>
          <w:rFonts w:cs="Arial"/>
          <w:b/>
          <w:lang w:val="ro-RO"/>
        </w:rPr>
        <w:t>/diagnoză</w:t>
      </w:r>
      <w:r w:rsidR="00E074B6">
        <w:rPr>
          <w:rFonts w:cs="Arial"/>
          <w:b/>
          <w:lang w:val="ro-RO"/>
        </w:rPr>
        <w:t>,</w:t>
      </w:r>
      <w:r w:rsidR="00E074B6" w:rsidRPr="00E074B6">
        <w:rPr>
          <w:rFonts w:cs="Arial"/>
          <w:b/>
          <w:lang w:val="ro-RO"/>
        </w:rPr>
        <w:t xml:space="preserve"> prin care să se constate starea tehnică a unui autoturism</w:t>
      </w:r>
      <w:r w:rsidRPr="00E074B6">
        <w:rPr>
          <w:rFonts w:cs="Arial"/>
          <w:b/>
          <w:lang w:val="ro-RO"/>
        </w:rPr>
        <w:t xml:space="preserve"> </w:t>
      </w:r>
      <w:r w:rsidR="00E074B6" w:rsidRPr="00E074B6">
        <w:rPr>
          <w:rFonts w:cs="Arial"/>
          <w:b/>
          <w:lang w:val="ro-RO"/>
        </w:rPr>
        <w:t xml:space="preserve">marca AUDI Q7 </w:t>
      </w:r>
      <w:r w:rsidR="003A5246" w:rsidRPr="00E074B6">
        <w:rPr>
          <w:rFonts w:cs="Arial"/>
          <w:b/>
          <w:lang w:val="ro-RO"/>
        </w:rPr>
        <w:t>aflat în administrarea Agenției,</w:t>
      </w:r>
      <w:r w:rsidRPr="00E074B6">
        <w:rPr>
          <w:rFonts w:cs="Arial"/>
          <w:b/>
          <w:lang w:val="ro-RO"/>
        </w:rPr>
        <w:t xml:space="preserve"> de către personal specializat</w:t>
      </w:r>
      <w:r>
        <w:rPr>
          <w:rFonts w:cs="Arial"/>
          <w:lang w:val="ro-RO"/>
        </w:rPr>
        <w:t xml:space="preserve"> din cadrul unui operator economic care să presteze activități de întreținere, constatare, reparații auto</w:t>
      </w:r>
      <w:r w:rsidRPr="001457C7">
        <w:rPr>
          <w:lang w:val="ro-RO"/>
        </w:rPr>
        <w:t>, necesare îndeplinirii de către Agenția Națională de Administrare a Bunurilor Indisponibilizate a atribuțiilor prevăzute la art. 2</w:t>
      </w:r>
      <w:r>
        <w:rPr>
          <w:lang w:val="ro-RO"/>
        </w:rPr>
        <w:t>8</w:t>
      </w:r>
      <w:r w:rsidRPr="001457C7">
        <w:rPr>
          <w:lang w:val="ro-RO"/>
        </w:rPr>
        <w:t xml:space="preserve"> alin. (</w:t>
      </w:r>
      <w:r>
        <w:rPr>
          <w:lang w:val="ro-RO"/>
        </w:rPr>
        <w:t>3</w:t>
      </w:r>
      <w:r w:rsidRPr="001457C7">
        <w:rPr>
          <w:lang w:val="ro-RO"/>
        </w:rPr>
        <w:t>) din Legea nr. 318/</w:t>
      </w:r>
      <w:r w:rsidRPr="008436EB">
        <w:rPr>
          <w:color w:val="000000" w:themeColor="text1"/>
          <w:lang w:val="ro-RO"/>
        </w:rPr>
        <w:t xml:space="preserve">2015 </w:t>
      </w:r>
      <w:r w:rsidRPr="008436EB">
        <w:rPr>
          <w:b/>
          <w:color w:val="000000" w:themeColor="text1"/>
          <w:lang w:val="ro-RO"/>
        </w:rPr>
        <w:t>(</w:t>
      </w:r>
      <w:r w:rsidRPr="008436EB">
        <w:rPr>
          <w:b/>
          <w:color w:val="000000" w:themeColor="text1"/>
        </w:rPr>
        <w:t xml:space="preserve">cod CPV = 50112200-5 - </w:t>
      </w:r>
      <w:r w:rsidRPr="008436EB">
        <w:rPr>
          <w:b/>
          <w:color w:val="000000" w:themeColor="text1"/>
          <w:lang w:val="ro-RO"/>
        </w:rPr>
        <w:t>Servicii de întreținere a automobilelor).</w:t>
      </w:r>
    </w:p>
    <w:p w:rsidR="00C83737" w:rsidRDefault="00C83737" w:rsidP="00C83737">
      <w:pPr>
        <w:spacing w:after="0" w:line="240" w:lineRule="auto"/>
        <w:ind w:left="-360" w:hanging="360"/>
        <w:rPr>
          <w:lang w:val="ro-RO"/>
        </w:rPr>
      </w:pPr>
      <w:r>
        <w:rPr>
          <w:lang w:val="ro-RO"/>
        </w:rPr>
        <w:t xml:space="preserve">3.2. </w:t>
      </w:r>
      <w:r w:rsidRPr="002E423E">
        <w:rPr>
          <w:lang w:val="ro-RO"/>
        </w:rPr>
        <w:t>Bunu</w:t>
      </w:r>
      <w:r>
        <w:rPr>
          <w:lang w:val="ro-RO"/>
        </w:rPr>
        <w:t>l</w:t>
      </w:r>
      <w:r w:rsidRPr="002E423E">
        <w:rPr>
          <w:lang w:val="ro-RO"/>
        </w:rPr>
        <w:t xml:space="preserve"> pentru care s-a </w:t>
      </w:r>
      <w:r>
        <w:rPr>
          <w:lang w:val="ro-RO"/>
        </w:rPr>
        <w:t xml:space="preserve">solicitat </w:t>
      </w:r>
      <w:r w:rsidRPr="002E423E">
        <w:rPr>
          <w:lang w:val="ro-RO"/>
        </w:rPr>
        <w:t xml:space="preserve">procedura de </w:t>
      </w:r>
      <w:r>
        <w:rPr>
          <w:lang w:val="ro-RO"/>
        </w:rPr>
        <w:t>achiziție servicii constatare tehnică</w:t>
      </w:r>
      <w:r w:rsidRPr="002E423E">
        <w:rPr>
          <w:lang w:val="ro-RO"/>
        </w:rPr>
        <w:t>:</w:t>
      </w:r>
    </w:p>
    <w:p w:rsidR="00C83737" w:rsidRPr="001304FD" w:rsidRDefault="00C83737" w:rsidP="00CA073A">
      <w:pPr>
        <w:pStyle w:val="ListParagraph"/>
        <w:numPr>
          <w:ilvl w:val="0"/>
          <w:numId w:val="9"/>
        </w:numPr>
        <w:spacing w:after="0" w:line="240" w:lineRule="auto"/>
        <w:ind w:left="-360" w:firstLine="360"/>
        <w:rPr>
          <w:rFonts w:cs="Arial"/>
          <w:b/>
          <w:noProof/>
          <w:lang w:val="ro-RO"/>
        </w:rPr>
      </w:pPr>
      <w:r w:rsidRPr="001304FD">
        <w:rPr>
          <w:b/>
          <w:lang w:val="ro-RO"/>
        </w:rPr>
        <w:t>a</w:t>
      </w:r>
      <w:r w:rsidRPr="001304FD">
        <w:rPr>
          <w:rFonts w:cs="Arial"/>
          <w:b/>
          <w:noProof/>
          <w:lang w:val="ro-RO"/>
        </w:rPr>
        <w:t xml:space="preserve">utoturism marca AUDI Q7; </w:t>
      </w:r>
    </w:p>
    <w:p w:rsidR="002E1F3A" w:rsidRDefault="002E1F3A" w:rsidP="00C83737">
      <w:pPr>
        <w:spacing w:before="120"/>
        <w:ind w:left="-360" w:hanging="360"/>
        <w:rPr>
          <w:lang w:val="ro-RO"/>
        </w:rPr>
      </w:pPr>
      <w:r>
        <w:rPr>
          <w:rFonts w:cs="Arial"/>
          <w:noProof/>
          <w:lang w:val="ro-RO"/>
        </w:rPr>
        <w:t xml:space="preserve">3.3. </w:t>
      </w:r>
      <w:r w:rsidR="00C83737" w:rsidRPr="001E20AF">
        <w:rPr>
          <w:rFonts w:cs="Arial"/>
          <w:noProof/>
          <w:lang w:val="ro-RO"/>
        </w:rPr>
        <w:t xml:space="preserve">Menționăm </w:t>
      </w:r>
      <w:r w:rsidR="00CA073A">
        <w:rPr>
          <w:rFonts w:cs="Arial"/>
          <w:noProof/>
          <w:lang w:val="ro-RO"/>
        </w:rPr>
        <w:t xml:space="preserve">faptul </w:t>
      </w:r>
      <w:r w:rsidR="00C83737" w:rsidRPr="001E20AF">
        <w:rPr>
          <w:rFonts w:cs="Arial"/>
          <w:noProof/>
          <w:lang w:val="ro-RO"/>
        </w:rPr>
        <w:t>că</w:t>
      </w:r>
      <w:r w:rsidR="00C83737">
        <w:rPr>
          <w:rFonts w:cs="Arial"/>
          <w:noProof/>
          <w:lang w:val="ro-RO"/>
        </w:rPr>
        <w:t xml:space="preserve"> bunul indisponibilizat se află</w:t>
      </w:r>
      <w:r w:rsidR="00C83737" w:rsidRPr="001E20AF">
        <w:rPr>
          <w:lang w:val="ro-RO"/>
        </w:rPr>
        <w:t xml:space="preserve"> </w:t>
      </w:r>
      <w:r w:rsidR="00C83737" w:rsidRPr="005956E8">
        <w:rPr>
          <w:lang w:val="ro-RO"/>
        </w:rPr>
        <w:t>depozitat</w:t>
      </w:r>
      <w:r w:rsidR="00C83737">
        <w:rPr>
          <w:lang w:val="ro-RO"/>
        </w:rPr>
        <w:t xml:space="preserve"> într-un spațiu acoperit</w:t>
      </w:r>
      <w:r w:rsidR="00CA073A">
        <w:rPr>
          <w:lang w:val="ro-RO"/>
        </w:rPr>
        <w:t>,</w:t>
      </w:r>
      <w:r w:rsidR="00C83737">
        <w:rPr>
          <w:lang w:val="ro-RO"/>
        </w:rPr>
        <w:t xml:space="preserve"> situat</w:t>
      </w:r>
      <w:r w:rsidR="00C83737" w:rsidRPr="005956E8">
        <w:rPr>
          <w:lang w:val="ro-RO"/>
        </w:rPr>
        <w:t xml:space="preserve"> în localitatea </w:t>
      </w:r>
      <w:r w:rsidR="00C83737">
        <w:rPr>
          <w:lang w:val="ro-RO"/>
        </w:rPr>
        <w:t>Voluntari, jud. Ilfov</w:t>
      </w:r>
      <w:r w:rsidR="00C83737" w:rsidRPr="005956E8">
        <w:rPr>
          <w:lang w:val="ro-RO"/>
        </w:rPr>
        <w:t>.</w:t>
      </w:r>
    </w:p>
    <w:p w:rsidR="0022508F" w:rsidRPr="001E20AF" w:rsidRDefault="002E1F3A" w:rsidP="00117AFB">
      <w:pPr>
        <w:spacing w:before="120"/>
        <w:ind w:left="-360" w:hanging="360"/>
        <w:rPr>
          <w:lang w:val="ro-RO"/>
        </w:rPr>
      </w:pPr>
      <w:r>
        <w:rPr>
          <w:lang w:val="ro-RO"/>
        </w:rPr>
        <w:t xml:space="preserve">3.4. </w:t>
      </w:r>
      <w:r w:rsidR="00CA073A">
        <w:rPr>
          <w:lang w:val="ro-RO"/>
        </w:rPr>
        <w:t>Pentru realizarea operațiunii de constatare tehnică</w:t>
      </w:r>
      <w:r w:rsidR="00AC5DA8">
        <w:rPr>
          <w:lang w:val="ro-RO"/>
        </w:rPr>
        <w:t>/diagnoză</w:t>
      </w:r>
      <w:r w:rsidR="00CA073A">
        <w:rPr>
          <w:lang w:val="ro-RO"/>
        </w:rPr>
        <w:t>, operatorul trebuie să se deplaseze la locația în care autoturismul se află parcat.</w:t>
      </w:r>
    </w:p>
    <w:p w:rsidR="00C83737" w:rsidRPr="00EF5AD6" w:rsidRDefault="00C83737" w:rsidP="00EF5AD6">
      <w:pPr>
        <w:pStyle w:val="ListParagraph"/>
        <w:numPr>
          <w:ilvl w:val="0"/>
          <w:numId w:val="4"/>
        </w:numPr>
        <w:spacing w:before="120" w:after="0" w:line="240" w:lineRule="auto"/>
        <w:ind w:left="-360" w:right="49"/>
        <w:rPr>
          <w:b/>
          <w:u w:val="single"/>
          <w:lang w:val="ro-RO"/>
        </w:rPr>
      </w:pPr>
      <w:r w:rsidRPr="00D65A18">
        <w:rPr>
          <w:b/>
          <w:u w:val="single"/>
          <w:lang w:val="ro-RO"/>
        </w:rPr>
        <w:t xml:space="preserve">Cerințe privind serviciile de </w:t>
      </w:r>
      <w:r>
        <w:rPr>
          <w:b/>
          <w:u w:val="single"/>
          <w:lang w:val="ro-RO"/>
        </w:rPr>
        <w:t>constatare tehnică</w:t>
      </w:r>
    </w:p>
    <w:p w:rsidR="00C83737" w:rsidRPr="00F673C6" w:rsidRDefault="00EF5AD6" w:rsidP="00EF5AD6">
      <w:pPr>
        <w:pStyle w:val="ListParagraph"/>
        <w:spacing w:before="120" w:line="240" w:lineRule="auto"/>
        <w:ind w:left="-360" w:right="49" w:hanging="360"/>
        <w:rPr>
          <w:b/>
          <w:u w:val="single"/>
          <w:lang w:val="ro-RO"/>
        </w:rPr>
      </w:pPr>
      <w:r>
        <w:rPr>
          <w:color w:val="000000" w:themeColor="text1"/>
          <w:lang w:val="ro-RO"/>
        </w:rPr>
        <w:t>4.1.</w:t>
      </w:r>
      <w:r w:rsidR="00C83737">
        <w:rPr>
          <w:color w:val="000000" w:themeColor="text1"/>
          <w:lang w:val="ro-RO"/>
        </w:rPr>
        <w:t xml:space="preserve"> </w:t>
      </w:r>
      <w:r w:rsidR="00C83737" w:rsidRPr="00F673C6">
        <w:rPr>
          <w:color w:val="000000" w:themeColor="text1"/>
          <w:lang w:val="ro-RO"/>
        </w:rPr>
        <w:t>La achiziționarea acestor servicii se vor avea în vedere următoarele cerințe tehnice minime, conform legislației în vigoare, după cum urmează:</w:t>
      </w:r>
    </w:p>
    <w:p w:rsidR="00C83737" w:rsidRPr="00D65A18" w:rsidRDefault="003A5246" w:rsidP="00EF5AD6">
      <w:pPr>
        <w:pStyle w:val="ListParagraph"/>
        <w:numPr>
          <w:ilvl w:val="0"/>
          <w:numId w:val="11"/>
        </w:numPr>
        <w:tabs>
          <w:tab w:val="left" w:pos="360"/>
        </w:tabs>
        <w:spacing w:before="120" w:line="240" w:lineRule="auto"/>
        <w:ind w:left="-360" w:right="49" w:firstLine="180"/>
        <w:rPr>
          <w:lang w:val="ro-RO"/>
        </w:rPr>
      </w:pPr>
      <w:r>
        <w:rPr>
          <w:lang w:val="ro-RO"/>
        </w:rPr>
        <w:t>o</w:t>
      </w:r>
      <w:r w:rsidR="00C83737" w:rsidRPr="00D65A18">
        <w:rPr>
          <w:lang w:val="ro-RO"/>
        </w:rPr>
        <w:t xml:space="preserve">fertanții trebuie să prezinte în fotocopie, purtând mențiunea conformității cu originalul, </w:t>
      </w:r>
      <w:r w:rsidR="00C83737">
        <w:rPr>
          <w:lang w:val="ro-RO"/>
        </w:rPr>
        <w:t>copia certificatului unic de înregistrare</w:t>
      </w:r>
      <w:r w:rsidR="00C83737" w:rsidRPr="00D65A18">
        <w:rPr>
          <w:lang w:val="ro-RO"/>
        </w:rPr>
        <w:t>.</w:t>
      </w:r>
    </w:p>
    <w:p w:rsidR="00C83737" w:rsidRPr="008B191E" w:rsidRDefault="003A5246" w:rsidP="00EF5AD6">
      <w:pPr>
        <w:pStyle w:val="ListParagraph"/>
        <w:numPr>
          <w:ilvl w:val="0"/>
          <w:numId w:val="11"/>
        </w:numPr>
        <w:tabs>
          <w:tab w:val="left" w:pos="360"/>
        </w:tabs>
        <w:spacing w:before="120" w:line="240" w:lineRule="auto"/>
        <w:ind w:left="-360" w:right="49" w:firstLine="180"/>
        <w:rPr>
          <w:lang w:val="ro-RO"/>
        </w:rPr>
      </w:pPr>
      <w:r>
        <w:rPr>
          <w:lang w:val="ro-RO"/>
        </w:rPr>
        <w:t>o</w:t>
      </w:r>
      <w:r w:rsidR="00C83737" w:rsidRPr="008B191E">
        <w:rPr>
          <w:lang w:val="ro-RO"/>
        </w:rPr>
        <w:t>fertanții vor depune</w:t>
      </w:r>
      <w:r w:rsidR="00CA073A">
        <w:rPr>
          <w:lang w:val="ro-RO"/>
        </w:rPr>
        <w:t xml:space="preserve"> </w:t>
      </w:r>
      <w:r w:rsidR="00C83737">
        <w:rPr>
          <w:lang w:val="ro-RO"/>
        </w:rPr>
        <w:t>o</w:t>
      </w:r>
      <w:r w:rsidR="00C83737" w:rsidRPr="008B191E">
        <w:rPr>
          <w:lang w:val="ro-RO"/>
        </w:rPr>
        <w:t xml:space="preserve"> declarație</w:t>
      </w:r>
      <w:r w:rsidR="00C83737" w:rsidRPr="008B191E">
        <w:rPr>
          <w:i/>
          <w:lang w:val="ro-RO"/>
        </w:rPr>
        <w:t xml:space="preserve"> </w:t>
      </w:r>
      <w:r w:rsidR="00C83737" w:rsidRPr="008B191E">
        <w:rPr>
          <w:lang w:val="ro-RO"/>
        </w:rPr>
        <w:t>cu privire la identificarea și competența lor,</w:t>
      </w:r>
      <w:r w:rsidR="00C83737" w:rsidRPr="008B191E">
        <w:rPr>
          <w:i/>
          <w:lang w:val="ro-RO"/>
        </w:rPr>
        <w:t xml:space="preserve"> sub semnătură privată</w:t>
      </w:r>
      <w:r w:rsidR="00C83737" w:rsidRPr="008B191E">
        <w:rPr>
          <w:lang w:val="ro-RO"/>
        </w:rPr>
        <w:t>, care să ateste:</w:t>
      </w:r>
    </w:p>
    <w:p w:rsidR="00C83737" w:rsidRPr="00D65A18" w:rsidRDefault="00C83737" w:rsidP="00EF5AD6">
      <w:pPr>
        <w:pStyle w:val="ListParagraph"/>
        <w:numPr>
          <w:ilvl w:val="0"/>
          <w:numId w:val="12"/>
        </w:numPr>
        <w:tabs>
          <w:tab w:val="left" w:pos="284"/>
        </w:tabs>
        <w:spacing w:before="120" w:line="240" w:lineRule="auto"/>
        <w:ind w:left="-360" w:right="49" w:firstLine="630"/>
        <w:rPr>
          <w:lang w:val="ro-RO"/>
        </w:rPr>
      </w:pPr>
      <w:r w:rsidRPr="00D65A18">
        <w:rPr>
          <w:lang w:val="ro-RO"/>
        </w:rPr>
        <w:t xml:space="preserve"> identitatea </w:t>
      </w:r>
      <w:r>
        <w:rPr>
          <w:lang w:val="ro-RO"/>
        </w:rPr>
        <w:t>persoanei care va realiza constatarea</w:t>
      </w:r>
      <w:r w:rsidRPr="00D65A18">
        <w:rPr>
          <w:lang w:val="ro-RO"/>
        </w:rPr>
        <w:t xml:space="preserve">, acesta putând să fie o persoană fizică sau juridică; </w:t>
      </w:r>
    </w:p>
    <w:p w:rsidR="00C83737" w:rsidRPr="00D65A18" w:rsidRDefault="00C83737" w:rsidP="00EF5AD6">
      <w:pPr>
        <w:pStyle w:val="ListParagraph"/>
        <w:numPr>
          <w:ilvl w:val="0"/>
          <w:numId w:val="12"/>
        </w:numPr>
        <w:tabs>
          <w:tab w:val="left" w:pos="284"/>
        </w:tabs>
        <w:spacing w:before="120" w:line="240" w:lineRule="auto"/>
        <w:ind w:left="-360" w:right="49" w:firstLine="630"/>
        <w:rPr>
          <w:lang w:val="ro-RO"/>
        </w:rPr>
      </w:pPr>
      <w:r w:rsidRPr="00D65A18">
        <w:rPr>
          <w:lang w:val="ro-RO"/>
        </w:rPr>
        <w:t xml:space="preserve"> faptul că </w:t>
      </w:r>
      <w:r w:rsidR="00F04FA3">
        <w:rPr>
          <w:lang w:val="ro-RO"/>
        </w:rPr>
        <w:t>operatorul economic</w:t>
      </w:r>
      <w:r w:rsidRPr="00D65A18">
        <w:rPr>
          <w:lang w:val="ro-RO"/>
        </w:rPr>
        <w:t xml:space="preserve"> poate </w:t>
      </w:r>
      <w:r>
        <w:rPr>
          <w:lang w:val="ro-RO"/>
        </w:rPr>
        <w:t>realiza</w:t>
      </w:r>
      <w:r w:rsidRPr="00D65A18">
        <w:rPr>
          <w:lang w:val="ro-RO"/>
        </w:rPr>
        <w:t xml:space="preserve"> o </w:t>
      </w:r>
      <w:r>
        <w:rPr>
          <w:lang w:val="ro-RO"/>
        </w:rPr>
        <w:t>constatare</w:t>
      </w:r>
      <w:r w:rsidRPr="00D65A18">
        <w:rPr>
          <w:lang w:val="ro-RO"/>
        </w:rPr>
        <w:t xml:space="preserve"> obiectivă și imparțială a bunului;</w:t>
      </w:r>
    </w:p>
    <w:p w:rsidR="00C83737" w:rsidRPr="00D65A18" w:rsidRDefault="00C83737" w:rsidP="00EF5AD6">
      <w:pPr>
        <w:pStyle w:val="ListParagraph"/>
        <w:numPr>
          <w:ilvl w:val="0"/>
          <w:numId w:val="12"/>
        </w:numPr>
        <w:tabs>
          <w:tab w:val="left" w:pos="284"/>
        </w:tabs>
        <w:spacing w:before="120" w:line="240" w:lineRule="auto"/>
        <w:ind w:left="-360" w:right="49" w:firstLine="630"/>
        <w:rPr>
          <w:lang w:val="ro-RO"/>
        </w:rPr>
      </w:pPr>
      <w:r w:rsidRPr="00D65A18">
        <w:rPr>
          <w:lang w:val="ro-RO"/>
        </w:rPr>
        <w:t xml:space="preserve">faptul că </w:t>
      </w:r>
      <w:r>
        <w:rPr>
          <w:lang w:val="ro-RO"/>
        </w:rPr>
        <w:t>persoana care realizează constatarea tehnică</w:t>
      </w:r>
      <w:r w:rsidRPr="00D65A18">
        <w:rPr>
          <w:lang w:val="ro-RO"/>
        </w:rPr>
        <w:t xml:space="preserve"> este autorizat</w:t>
      </w:r>
      <w:r>
        <w:rPr>
          <w:lang w:val="ro-RO"/>
        </w:rPr>
        <w:t>ă</w:t>
      </w:r>
      <w:r w:rsidRPr="00D65A18">
        <w:rPr>
          <w:lang w:val="ro-RO"/>
        </w:rPr>
        <w:t xml:space="preserve"> să efectueze </w:t>
      </w:r>
      <w:r>
        <w:rPr>
          <w:lang w:val="ro-RO"/>
        </w:rPr>
        <w:t>această operațiune</w:t>
      </w:r>
      <w:r w:rsidRPr="00D65A18">
        <w:rPr>
          <w:lang w:val="ro-RO"/>
        </w:rPr>
        <w:t xml:space="preserve">, deținând </w:t>
      </w:r>
      <w:r w:rsidR="009B1A2B">
        <w:rPr>
          <w:lang w:val="ro-RO"/>
        </w:rPr>
        <w:t xml:space="preserve">calificările </w:t>
      </w:r>
      <w:r w:rsidR="002D6CF7">
        <w:rPr>
          <w:lang w:val="ro-RO"/>
        </w:rPr>
        <w:t xml:space="preserve">profesionale </w:t>
      </w:r>
      <w:r w:rsidR="009B1A2B">
        <w:rPr>
          <w:lang w:val="ro-RO"/>
        </w:rPr>
        <w:t xml:space="preserve">ori </w:t>
      </w:r>
      <w:r w:rsidRPr="00D65A18">
        <w:rPr>
          <w:lang w:val="ro-RO"/>
        </w:rPr>
        <w:t>specializ</w:t>
      </w:r>
      <w:r>
        <w:rPr>
          <w:lang w:val="ro-RO"/>
        </w:rPr>
        <w:t>ările necesare</w:t>
      </w:r>
      <w:r w:rsidRPr="00D65A18">
        <w:rPr>
          <w:lang w:val="ro-RO"/>
        </w:rPr>
        <w:t xml:space="preserve">. Dacă </w:t>
      </w:r>
      <w:r w:rsidR="00545FAE">
        <w:rPr>
          <w:lang w:val="ro-RO"/>
        </w:rPr>
        <w:t>o</w:t>
      </w:r>
      <w:r w:rsidR="00F04FA3">
        <w:rPr>
          <w:lang w:val="ro-RO"/>
        </w:rPr>
        <w:t>peratorul economic</w:t>
      </w:r>
      <w:r w:rsidRPr="00D65A18">
        <w:rPr>
          <w:lang w:val="ro-RO"/>
        </w:rPr>
        <w:t xml:space="preserve"> are nevoie să apeleze la asistență substanțială din partea altor specialiști, pentru orice aspect al </w:t>
      </w:r>
      <w:r>
        <w:rPr>
          <w:lang w:val="ro-RO"/>
        </w:rPr>
        <w:t>constatării tehnice</w:t>
      </w:r>
      <w:r w:rsidRPr="00D65A18">
        <w:rPr>
          <w:lang w:val="ro-RO"/>
        </w:rPr>
        <w:t>, trebuie convenită și consemnată natura unei astfel de asistențe, precum și măsura în care s-a bazat pe aceasta.</w:t>
      </w:r>
    </w:p>
    <w:p w:rsidR="00C83737" w:rsidRPr="00D65A18" w:rsidRDefault="00C83737" w:rsidP="00EF5AD6">
      <w:pPr>
        <w:pStyle w:val="ListParagraph"/>
        <w:numPr>
          <w:ilvl w:val="0"/>
          <w:numId w:val="12"/>
        </w:numPr>
        <w:tabs>
          <w:tab w:val="left" w:pos="284"/>
        </w:tabs>
        <w:spacing w:before="120" w:line="240" w:lineRule="auto"/>
        <w:ind w:left="-360" w:right="49" w:firstLine="630"/>
        <w:rPr>
          <w:lang w:val="ro-RO"/>
        </w:rPr>
      </w:pPr>
      <w:r w:rsidRPr="00D65A18">
        <w:rPr>
          <w:lang w:val="ro-RO"/>
        </w:rPr>
        <w:t xml:space="preserve">dacă </w:t>
      </w:r>
      <w:r w:rsidR="00F04FA3">
        <w:rPr>
          <w:lang w:val="ro-RO"/>
        </w:rPr>
        <w:t>operatorul economic</w:t>
      </w:r>
      <w:r w:rsidRPr="00D65A18">
        <w:rPr>
          <w:lang w:val="ro-RO"/>
        </w:rPr>
        <w:t xml:space="preserve"> are/nu are vreo legătură sau implicare cu partea care a solicitat </w:t>
      </w:r>
      <w:r>
        <w:rPr>
          <w:lang w:val="ro-RO"/>
        </w:rPr>
        <w:t>constatarea tehnică</w:t>
      </w:r>
      <w:r w:rsidRPr="00D65A18">
        <w:rPr>
          <w:lang w:val="ro-RO"/>
        </w:rPr>
        <w:t>;</w:t>
      </w:r>
    </w:p>
    <w:p w:rsidR="00E074B6" w:rsidRDefault="00C83737" w:rsidP="00C83737">
      <w:pPr>
        <w:tabs>
          <w:tab w:val="left" w:pos="993"/>
        </w:tabs>
        <w:spacing w:before="120" w:line="240" w:lineRule="auto"/>
        <w:ind w:left="-360" w:right="49" w:hanging="360"/>
        <w:rPr>
          <w:lang w:val="ro-RO"/>
        </w:rPr>
      </w:pPr>
      <w:r w:rsidRPr="009B1A2B">
        <w:rPr>
          <w:lang w:val="ro-RO"/>
        </w:rPr>
        <w:t>4.2.</w:t>
      </w:r>
      <w:r w:rsidRPr="00D65A18">
        <w:rPr>
          <w:b/>
          <w:lang w:val="ro-RO"/>
        </w:rPr>
        <w:t xml:space="preserve"> </w:t>
      </w:r>
      <w:r w:rsidRPr="00D65A18">
        <w:rPr>
          <w:lang w:val="ro-RO"/>
        </w:rPr>
        <w:t xml:space="preserve">Ofertantul desemnat câștigător, va depune </w:t>
      </w:r>
      <w:r w:rsidRPr="00D65A18">
        <w:rPr>
          <w:i/>
          <w:lang w:val="ro-RO"/>
        </w:rPr>
        <w:t>o declarație sub semnătură privată,</w:t>
      </w:r>
      <w:r w:rsidRPr="00D65A18">
        <w:rPr>
          <w:lang w:val="ro-RO"/>
        </w:rPr>
        <w:t xml:space="preserve"> la momentul semnării contractului de prestări servicii de </w:t>
      </w:r>
      <w:r>
        <w:rPr>
          <w:lang w:val="ro-RO"/>
        </w:rPr>
        <w:t>constatare tehnică</w:t>
      </w:r>
      <w:r w:rsidRPr="00D65A18">
        <w:rPr>
          <w:lang w:val="ro-RO"/>
        </w:rPr>
        <w:t xml:space="preserve">, care să ateste dacă </w:t>
      </w:r>
      <w:r w:rsidR="00D1350A">
        <w:rPr>
          <w:lang w:val="ro-RO"/>
        </w:rPr>
        <w:t>acesta</w:t>
      </w:r>
      <w:r w:rsidRPr="00D65A18">
        <w:rPr>
          <w:lang w:val="ro-RO"/>
        </w:rPr>
        <w:t xml:space="preserve"> are/nu are vreo legătură sau implicare cu deținătorul sau cu proprietarul bunului </w:t>
      </w:r>
      <w:r>
        <w:rPr>
          <w:lang w:val="ro-RO"/>
        </w:rPr>
        <w:t>cu privire la care urmează a fi făcută constatarea tehnică</w:t>
      </w:r>
      <w:r w:rsidR="00E074B6">
        <w:rPr>
          <w:lang w:val="ro-RO"/>
        </w:rPr>
        <w:t>.</w:t>
      </w:r>
    </w:p>
    <w:p w:rsidR="00C83737" w:rsidRPr="006621F2" w:rsidRDefault="00C83737" w:rsidP="00C83737">
      <w:pPr>
        <w:tabs>
          <w:tab w:val="left" w:pos="993"/>
        </w:tabs>
        <w:spacing w:before="120" w:line="240" w:lineRule="auto"/>
        <w:ind w:left="-360" w:right="49" w:hanging="360"/>
        <w:rPr>
          <w:color w:val="FF0000"/>
          <w:lang w:val="ro-RO"/>
        </w:rPr>
      </w:pPr>
      <w:r w:rsidRPr="009B1A2B">
        <w:rPr>
          <w:lang w:val="ro-RO"/>
        </w:rPr>
        <w:t>4</w:t>
      </w:r>
      <w:r w:rsidRPr="009B1A2B">
        <w:rPr>
          <w:color w:val="FF0000"/>
          <w:lang w:val="ro-RO"/>
        </w:rPr>
        <w:t>.</w:t>
      </w:r>
      <w:r w:rsidRPr="009B1A2B">
        <w:rPr>
          <w:lang w:val="ro-RO"/>
        </w:rPr>
        <w:t>3.</w:t>
      </w:r>
      <w:r>
        <w:rPr>
          <w:lang w:val="ro-RO"/>
        </w:rPr>
        <w:t xml:space="preserve"> </w:t>
      </w:r>
      <w:r w:rsidRPr="001457C7">
        <w:rPr>
          <w:lang w:val="ro-RO"/>
        </w:rPr>
        <w:t xml:space="preserve">Raportul de </w:t>
      </w:r>
      <w:r>
        <w:rPr>
          <w:lang w:val="ro-RO"/>
        </w:rPr>
        <w:t>constatare tehnică</w:t>
      </w:r>
      <w:r w:rsidRPr="001457C7">
        <w:rPr>
          <w:lang w:val="ro-RO"/>
        </w:rPr>
        <w:t xml:space="preserve"> va </w:t>
      </w:r>
      <w:r>
        <w:rPr>
          <w:lang w:val="ro-RO"/>
        </w:rPr>
        <w:t xml:space="preserve">cuprinde cel puțin </w:t>
      </w:r>
      <w:r w:rsidRPr="001457C7">
        <w:rPr>
          <w:lang w:val="ro-RO"/>
        </w:rPr>
        <w:t>următoarele elemente:</w:t>
      </w:r>
    </w:p>
    <w:p w:rsidR="00C83737" w:rsidRPr="00C04946" w:rsidRDefault="00C83737" w:rsidP="00C83737">
      <w:pPr>
        <w:pStyle w:val="ListParagraph"/>
        <w:numPr>
          <w:ilvl w:val="0"/>
          <w:numId w:val="10"/>
        </w:numPr>
        <w:tabs>
          <w:tab w:val="left" w:pos="426"/>
        </w:tabs>
        <w:spacing w:line="240" w:lineRule="auto"/>
        <w:ind w:left="-360"/>
        <w:rPr>
          <w:rFonts w:eastAsia="Calibri" w:cs="Arial"/>
          <w:bCs/>
          <w:lang w:val="ro-RO"/>
        </w:rPr>
      </w:pPr>
      <w:r w:rsidRPr="00C04946">
        <w:rPr>
          <w:lang w:val="ro-RO"/>
        </w:rPr>
        <w:t>trebuie să se facă o descrie</w:t>
      </w:r>
      <w:r>
        <w:rPr>
          <w:lang w:val="ro-RO"/>
        </w:rPr>
        <w:t xml:space="preserve">re clară a bunului </w:t>
      </w:r>
      <w:r w:rsidRPr="00E86EE5">
        <w:rPr>
          <w:lang w:val="ro-RO"/>
        </w:rPr>
        <w:t>cu privire la care urmează a fi făcută constatarea tehnică</w:t>
      </w:r>
      <w:r w:rsidRPr="00C04946">
        <w:rPr>
          <w:lang w:val="ro-RO"/>
        </w:rPr>
        <w:t xml:space="preserve">, astfel încât </w:t>
      </w:r>
      <w:r>
        <w:rPr>
          <w:lang w:val="ro-RO"/>
        </w:rPr>
        <w:t>acesta să poată fi identificat</w:t>
      </w:r>
      <w:r w:rsidRPr="00C04946">
        <w:rPr>
          <w:lang w:val="ro-RO"/>
        </w:rPr>
        <w:t>;</w:t>
      </w:r>
    </w:p>
    <w:p w:rsidR="00C83737" w:rsidRPr="00E074B6" w:rsidRDefault="00C83737" w:rsidP="00E074B6">
      <w:pPr>
        <w:pStyle w:val="ListParagraph"/>
        <w:numPr>
          <w:ilvl w:val="0"/>
          <w:numId w:val="10"/>
        </w:numPr>
        <w:tabs>
          <w:tab w:val="left" w:pos="426"/>
        </w:tabs>
        <w:spacing w:line="240" w:lineRule="auto"/>
        <w:ind w:left="-360"/>
        <w:rPr>
          <w:rFonts w:eastAsia="Calibri" w:cs="Arial"/>
          <w:bCs/>
          <w:lang w:val="ro-RO"/>
        </w:rPr>
      </w:pPr>
      <w:r w:rsidRPr="00C04946">
        <w:rPr>
          <w:lang w:val="ro-RO"/>
        </w:rPr>
        <w:t xml:space="preserve">o descriere clară și precisă a </w:t>
      </w:r>
      <w:r>
        <w:rPr>
          <w:lang w:val="ro-RO"/>
        </w:rPr>
        <w:t>simptomelor prezentate de către bunul mobil supus constatării tehnice</w:t>
      </w:r>
      <w:r w:rsidRPr="00C04946">
        <w:rPr>
          <w:lang w:val="ro-RO"/>
        </w:rPr>
        <w:t>;</w:t>
      </w:r>
    </w:p>
    <w:p w:rsidR="00C83737" w:rsidRPr="00C04946" w:rsidRDefault="000C4E60" w:rsidP="00C83737">
      <w:pPr>
        <w:pStyle w:val="ListParagraph"/>
        <w:numPr>
          <w:ilvl w:val="0"/>
          <w:numId w:val="10"/>
        </w:numPr>
        <w:tabs>
          <w:tab w:val="left" w:pos="426"/>
        </w:tabs>
        <w:spacing w:line="240" w:lineRule="auto"/>
        <w:ind w:left="-360"/>
        <w:rPr>
          <w:rFonts w:eastAsia="Calibri" w:cs="Arial"/>
          <w:bCs/>
          <w:lang w:val="ro-RO"/>
        </w:rPr>
      </w:pPr>
      <w:r>
        <w:rPr>
          <w:lang w:val="ro-RO"/>
        </w:rPr>
        <w:lastRenderedPageBreak/>
        <w:t>formularea unor recomandări</w:t>
      </w:r>
      <w:r w:rsidR="00C83737">
        <w:rPr>
          <w:lang w:val="ro-RO"/>
        </w:rPr>
        <w:t xml:space="preserve"> întemeiate pe constatările făcute </w:t>
      </w:r>
      <w:r>
        <w:rPr>
          <w:lang w:val="ro-RO"/>
        </w:rPr>
        <w:t>cu ocazia</w:t>
      </w:r>
      <w:r w:rsidR="00C83737">
        <w:rPr>
          <w:lang w:val="ro-RO"/>
        </w:rPr>
        <w:t xml:space="preserve"> inspect</w:t>
      </w:r>
      <w:r>
        <w:rPr>
          <w:lang w:val="ro-RO"/>
        </w:rPr>
        <w:t>ării autoturismului,</w:t>
      </w:r>
      <w:r w:rsidR="00C83737">
        <w:rPr>
          <w:lang w:val="ro-RO"/>
        </w:rPr>
        <w:t xml:space="preserve"> cu privire la posibilitățile concrete de remediere a acestor defecțiuni</w:t>
      </w:r>
      <w:r w:rsidR="00C83737" w:rsidRPr="00C04946">
        <w:rPr>
          <w:lang w:val="ro-RO"/>
        </w:rPr>
        <w:t>;</w:t>
      </w:r>
    </w:p>
    <w:p w:rsidR="00C83737" w:rsidRPr="00C04946" w:rsidRDefault="00C83737" w:rsidP="00C83737">
      <w:pPr>
        <w:pStyle w:val="ListParagraph"/>
        <w:numPr>
          <w:ilvl w:val="0"/>
          <w:numId w:val="10"/>
        </w:numPr>
        <w:tabs>
          <w:tab w:val="left" w:pos="426"/>
        </w:tabs>
        <w:spacing w:line="240" w:lineRule="auto"/>
        <w:ind w:left="-360"/>
        <w:rPr>
          <w:rFonts w:eastAsia="Calibri" w:cs="Arial"/>
          <w:bCs/>
          <w:lang w:val="ro-RO"/>
        </w:rPr>
      </w:pPr>
      <w:r>
        <w:rPr>
          <w:lang w:val="ro-RO"/>
        </w:rPr>
        <w:t xml:space="preserve">menționarea oricăror alte constatări cu privire la bunul inspectat, de natură să afecteze buna funcționare a acestuia, în măsura în care acestea vor fi relevate pe parcursul inspecției realizare de către </w:t>
      </w:r>
      <w:r w:rsidR="00747DAD">
        <w:rPr>
          <w:lang w:val="ro-RO"/>
        </w:rPr>
        <w:t>o</w:t>
      </w:r>
      <w:r w:rsidR="00F04FA3">
        <w:rPr>
          <w:lang w:val="ro-RO"/>
        </w:rPr>
        <w:t>peratorul economic</w:t>
      </w:r>
      <w:r w:rsidRPr="00C04946">
        <w:rPr>
          <w:lang w:val="ro-RO"/>
        </w:rPr>
        <w:t>;</w:t>
      </w:r>
    </w:p>
    <w:p w:rsidR="00C83737" w:rsidRPr="00C04946" w:rsidRDefault="00C83737" w:rsidP="00C83737">
      <w:pPr>
        <w:pStyle w:val="ListParagraph"/>
        <w:numPr>
          <w:ilvl w:val="0"/>
          <w:numId w:val="10"/>
        </w:numPr>
        <w:tabs>
          <w:tab w:val="left" w:pos="426"/>
        </w:tabs>
        <w:spacing w:line="240" w:lineRule="auto"/>
        <w:ind w:left="-360"/>
        <w:rPr>
          <w:rFonts w:eastAsia="Calibri" w:cs="Arial"/>
          <w:bCs/>
          <w:lang w:val="ro-RO"/>
        </w:rPr>
      </w:pPr>
      <w:r w:rsidRPr="00C04946">
        <w:rPr>
          <w:lang w:val="ro-RO"/>
        </w:rPr>
        <w:t xml:space="preserve">data </w:t>
      </w:r>
      <w:r>
        <w:rPr>
          <w:lang w:val="ro-RO"/>
        </w:rPr>
        <w:t>realizării constatării tehnice</w:t>
      </w:r>
      <w:r w:rsidRPr="00C04946">
        <w:rPr>
          <w:lang w:val="ro-RO"/>
        </w:rPr>
        <w:t xml:space="preserve"> și persoana desemnată din partea </w:t>
      </w:r>
      <w:r w:rsidR="00747DAD">
        <w:rPr>
          <w:lang w:val="ro-RO"/>
        </w:rPr>
        <w:t>o</w:t>
      </w:r>
      <w:r w:rsidR="00F04FA3">
        <w:rPr>
          <w:lang w:val="ro-RO"/>
        </w:rPr>
        <w:t>peratorului economic</w:t>
      </w:r>
      <w:r w:rsidRPr="00C04946">
        <w:rPr>
          <w:lang w:val="ro-RO"/>
        </w:rPr>
        <w:t xml:space="preserve">, precum și din partea </w:t>
      </w:r>
      <w:r w:rsidR="00F04FA3">
        <w:rPr>
          <w:lang w:val="ro-RO"/>
        </w:rPr>
        <w:t>autorității contractante</w:t>
      </w:r>
      <w:r w:rsidR="004B60FD">
        <w:rPr>
          <w:lang w:val="ro-RO"/>
        </w:rPr>
        <w:t>,</w:t>
      </w:r>
      <w:r w:rsidRPr="00C04946">
        <w:rPr>
          <w:lang w:val="ro-RO"/>
        </w:rPr>
        <w:t xml:space="preserve"> în prezența cărora s-a efectuat </w:t>
      </w:r>
      <w:r>
        <w:rPr>
          <w:lang w:val="ro-RO"/>
        </w:rPr>
        <w:t>aceasta</w:t>
      </w:r>
      <w:r w:rsidRPr="00C04946">
        <w:rPr>
          <w:lang w:val="ro-RO"/>
        </w:rPr>
        <w:t>;</w:t>
      </w:r>
    </w:p>
    <w:p w:rsidR="00CA073A" w:rsidRPr="00CA073A" w:rsidRDefault="000320EB" w:rsidP="00C83737">
      <w:pPr>
        <w:pStyle w:val="ListParagraph"/>
        <w:numPr>
          <w:ilvl w:val="0"/>
          <w:numId w:val="10"/>
        </w:numPr>
        <w:tabs>
          <w:tab w:val="left" w:pos="426"/>
        </w:tabs>
        <w:spacing w:line="240" w:lineRule="auto"/>
        <w:ind w:left="-360"/>
        <w:rPr>
          <w:rFonts w:eastAsia="Calibri" w:cs="Arial"/>
          <w:bCs/>
          <w:lang w:val="ro-RO"/>
        </w:rPr>
      </w:pPr>
      <w:r>
        <w:rPr>
          <w:lang w:val="ro-RO"/>
        </w:rPr>
        <w:t>e</w:t>
      </w:r>
      <w:r w:rsidR="00C83737" w:rsidRPr="00C04946">
        <w:rPr>
          <w:lang w:val="ro-RO"/>
        </w:rPr>
        <w:t>miter</w:t>
      </w:r>
      <w:r w:rsidR="00CA073A">
        <w:rPr>
          <w:lang w:val="ro-RO"/>
        </w:rPr>
        <w:t>ea</w:t>
      </w:r>
      <w:r w:rsidR="00C83737" w:rsidRPr="00C04946">
        <w:rPr>
          <w:lang w:val="ro-RO"/>
        </w:rPr>
        <w:t xml:space="preserve"> raportului de </w:t>
      </w:r>
      <w:r w:rsidR="00C83737">
        <w:rPr>
          <w:lang w:val="ro-RO"/>
        </w:rPr>
        <w:t>constatare</w:t>
      </w:r>
      <w:r w:rsidR="00CA073A">
        <w:rPr>
          <w:lang w:val="ro-RO"/>
        </w:rPr>
        <w:t xml:space="preserve"> de către </w:t>
      </w:r>
      <w:r w:rsidR="00747DAD">
        <w:rPr>
          <w:lang w:val="ro-RO"/>
        </w:rPr>
        <w:t>o</w:t>
      </w:r>
      <w:r w:rsidR="00F04FA3">
        <w:rPr>
          <w:lang w:val="ro-RO"/>
        </w:rPr>
        <w:t>peratorul economic</w:t>
      </w:r>
      <w:r w:rsidR="00C83737" w:rsidRPr="00C04946">
        <w:rPr>
          <w:lang w:val="ro-RO"/>
        </w:rPr>
        <w:t xml:space="preserve"> </w:t>
      </w:r>
      <w:r w:rsidR="00CA073A">
        <w:rPr>
          <w:lang w:val="ro-RO"/>
        </w:rPr>
        <w:t xml:space="preserve">se va face în </w:t>
      </w:r>
      <w:r w:rsidR="00BD2B8C">
        <w:rPr>
          <w:lang w:val="ro-RO"/>
        </w:rPr>
        <w:t>5</w:t>
      </w:r>
      <w:r w:rsidR="00CA073A">
        <w:rPr>
          <w:lang w:val="ro-RO"/>
        </w:rPr>
        <w:t xml:space="preserve"> zile lucrătoare de la data inspecției bunului.</w:t>
      </w:r>
    </w:p>
    <w:p w:rsidR="00C83737" w:rsidRPr="00C04946" w:rsidRDefault="00C83737" w:rsidP="00C83737">
      <w:pPr>
        <w:pStyle w:val="ListParagraph"/>
        <w:numPr>
          <w:ilvl w:val="0"/>
          <w:numId w:val="10"/>
        </w:numPr>
        <w:tabs>
          <w:tab w:val="left" w:pos="426"/>
        </w:tabs>
        <w:spacing w:line="240" w:lineRule="auto"/>
        <w:ind w:left="-360"/>
        <w:rPr>
          <w:rFonts w:eastAsia="Calibri" w:cs="Arial"/>
          <w:bCs/>
          <w:lang w:val="ro-RO"/>
        </w:rPr>
      </w:pPr>
      <w:r w:rsidRPr="00C04946">
        <w:rPr>
          <w:lang w:val="ro-RO"/>
        </w:rPr>
        <w:t>este obligatorie ștampilarea fiecărei pagini a raportului;</w:t>
      </w:r>
    </w:p>
    <w:p w:rsidR="00C83737" w:rsidRPr="00C04946" w:rsidRDefault="00C83737" w:rsidP="00C83737">
      <w:pPr>
        <w:pStyle w:val="ListParagraph"/>
        <w:numPr>
          <w:ilvl w:val="0"/>
          <w:numId w:val="10"/>
        </w:numPr>
        <w:tabs>
          <w:tab w:val="left" w:pos="426"/>
        </w:tabs>
        <w:spacing w:line="240" w:lineRule="auto"/>
        <w:ind w:left="-360"/>
        <w:rPr>
          <w:rFonts w:eastAsia="Calibri" w:cs="Arial"/>
          <w:bCs/>
          <w:lang w:val="ro-RO"/>
        </w:rPr>
      </w:pPr>
      <w:r w:rsidRPr="00C04946">
        <w:rPr>
          <w:lang w:val="ro-RO"/>
        </w:rPr>
        <w:t>datarea raportului;</w:t>
      </w:r>
    </w:p>
    <w:p w:rsidR="00C83737" w:rsidRPr="00C04946" w:rsidRDefault="00C83737" w:rsidP="00C83737">
      <w:pPr>
        <w:pStyle w:val="ListParagraph"/>
        <w:numPr>
          <w:ilvl w:val="0"/>
          <w:numId w:val="10"/>
        </w:numPr>
        <w:tabs>
          <w:tab w:val="left" w:pos="426"/>
        </w:tabs>
        <w:spacing w:line="240" w:lineRule="auto"/>
        <w:ind w:left="-360"/>
        <w:rPr>
          <w:rFonts w:eastAsia="Calibri" w:cs="Arial"/>
          <w:bCs/>
          <w:lang w:val="ro-RO"/>
        </w:rPr>
      </w:pPr>
      <w:r w:rsidRPr="00C04946">
        <w:rPr>
          <w:lang w:val="ro-RO"/>
        </w:rPr>
        <w:t xml:space="preserve">anexarea la raportul de </w:t>
      </w:r>
      <w:r w:rsidR="000C4E60">
        <w:rPr>
          <w:lang w:val="ro-RO"/>
        </w:rPr>
        <w:t>constatare tehnică</w:t>
      </w:r>
      <w:r w:rsidRPr="00C04946">
        <w:rPr>
          <w:lang w:val="ro-RO"/>
        </w:rPr>
        <w:t xml:space="preserve"> a fotografiilor</w:t>
      </w:r>
      <w:r>
        <w:rPr>
          <w:lang w:val="ro-RO"/>
        </w:rPr>
        <w:t xml:space="preserve"> color</w:t>
      </w:r>
      <w:r w:rsidRPr="00C04946">
        <w:rPr>
          <w:lang w:val="ro-RO"/>
        </w:rPr>
        <w:t xml:space="preserve">, interior și exterior, după caz, </w:t>
      </w:r>
      <w:r w:rsidR="000C4E60">
        <w:rPr>
          <w:lang w:val="ro-RO"/>
        </w:rPr>
        <w:t>ale zonei afectate</w:t>
      </w:r>
      <w:r w:rsidRPr="00C04946">
        <w:rPr>
          <w:lang w:val="ro-RO"/>
        </w:rPr>
        <w:t>;</w:t>
      </w:r>
    </w:p>
    <w:p w:rsidR="00C83737" w:rsidRPr="00C04946" w:rsidRDefault="00C83737" w:rsidP="00C83737">
      <w:pPr>
        <w:pStyle w:val="ListParagraph"/>
        <w:numPr>
          <w:ilvl w:val="0"/>
          <w:numId w:val="10"/>
        </w:numPr>
        <w:tabs>
          <w:tab w:val="left" w:pos="426"/>
        </w:tabs>
        <w:spacing w:line="240" w:lineRule="auto"/>
        <w:ind w:left="-360"/>
        <w:rPr>
          <w:rFonts w:eastAsia="Calibri" w:cs="Arial"/>
          <w:bCs/>
          <w:lang w:val="ro-RO"/>
        </w:rPr>
      </w:pPr>
      <w:r w:rsidRPr="00C04946">
        <w:rPr>
          <w:lang w:val="ro-RO"/>
        </w:rPr>
        <w:t xml:space="preserve">în mod obligatoriu, raportul de </w:t>
      </w:r>
      <w:r w:rsidR="005D4DF5">
        <w:rPr>
          <w:lang w:val="ro-RO"/>
        </w:rPr>
        <w:t>constatare tehnică</w:t>
      </w:r>
      <w:r w:rsidRPr="00C04946">
        <w:rPr>
          <w:lang w:val="ro-RO"/>
        </w:rPr>
        <w:t xml:space="preserve"> va fi redactat în limba română;</w:t>
      </w:r>
    </w:p>
    <w:p w:rsidR="00C83737" w:rsidRPr="00C04946" w:rsidRDefault="00C83737" w:rsidP="00C83737">
      <w:pPr>
        <w:pStyle w:val="ListParagraph"/>
        <w:numPr>
          <w:ilvl w:val="0"/>
          <w:numId w:val="10"/>
        </w:numPr>
        <w:tabs>
          <w:tab w:val="left" w:pos="426"/>
        </w:tabs>
        <w:spacing w:line="240" w:lineRule="auto"/>
        <w:ind w:left="-360"/>
        <w:rPr>
          <w:rFonts w:eastAsia="Calibri" w:cs="Arial"/>
          <w:bCs/>
          <w:lang w:val="ro-RO"/>
        </w:rPr>
      </w:pPr>
      <w:r w:rsidRPr="00C04946">
        <w:rPr>
          <w:lang w:val="ro-RO"/>
        </w:rPr>
        <w:t>ofertanții își asumă răspunderea exclusivă pentru legalitatea și autenticitatea tuturor informațiilor și documentelor prezentate;</w:t>
      </w:r>
    </w:p>
    <w:p w:rsidR="00C83737" w:rsidRPr="00117AFB" w:rsidRDefault="00C83737" w:rsidP="00117AFB">
      <w:pPr>
        <w:pStyle w:val="ListParagraph"/>
        <w:numPr>
          <w:ilvl w:val="0"/>
          <w:numId w:val="10"/>
        </w:numPr>
        <w:tabs>
          <w:tab w:val="left" w:pos="426"/>
        </w:tabs>
        <w:ind w:left="-360"/>
        <w:rPr>
          <w:rFonts w:eastAsia="Calibri" w:cs="Arial"/>
          <w:bCs/>
          <w:lang w:val="ro-RO"/>
        </w:rPr>
      </w:pPr>
      <w:r w:rsidRPr="00C04946">
        <w:rPr>
          <w:lang w:val="ro-RO"/>
        </w:rPr>
        <w:t xml:space="preserve">raportul de </w:t>
      </w:r>
      <w:r>
        <w:rPr>
          <w:lang w:val="ro-RO"/>
        </w:rPr>
        <w:t>constatare tehnică</w:t>
      </w:r>
      <w:r w:rsidRPr="00C04946">
        <w:rPr>
          <w:lang w:val="ro-RO"/>
        </w:rPr>
        <w:t xml:space="preserve"> va fi predat autorității contractante în original.</w:t>
      </w:r>
    </w:p>
    <w:p w:rsidR="00C83737" w:rsidRPr="00D65A18" w:rsidRDefault="00C83737" w:rsidP="00C83737">
      <w:pPr>
        <w:tabs>
          <w:tab w:val="left" w:pos="426"/>
        </w:tabs>
        <w:spacing w:after="0" w:line="240" w:lineRule="auto"/>
        <w:ind w:left="-360" w:hanging="360"/>
        <w:rPr>
          <w:rFonts w:eastAsia="Calibri" w:cs="Arial"/>
          <w:bCs/>
          <w:color w:val="000000" w:themeColor="text1"/>
          <w:lang w:val="ro-RO"/>
        </w:rPr>
      </w:pPr>
      <w:r>
        <w:rPr>
          <w:rFonts w:eastAsia="Calibri" w:cs="Arial"/>
          <w:bCs/>
          <w:lang w:val="ro-RO"/>
        </w:rPr>
        <w:t>5</w:t>
      </w:r>
      <w:r w:rsidRPr="009D671C">
        <w:rPr>
          <w:rFonts w:eastAsia="Calibri" w:cs="Arial"/>
          <w:bCs/>
          <w:lang w:val="ro-RO"/>
        </w:rPr>
        <w:t>.</w:t>
      </w:r>
      <w:r w:rsidRPr="009D671C">
        <w:rPr>
          <w:rFonts w:eastAsia="Calibri" w:cs="Arial"/>
          <w:bCs/>
          <w:lang w:val="ro-RO"/>
        </w:rPr>
        <w:tab/>
      </w:r>
      <w:r w:rsidRPr="00D65A18">
        <w:rPr>
          <w:rFonts w:eastAsia="Calibri" w:cs="Arial"/>
          <w:b/>
          <w:bCs/>
          <w:color w:val="000000" w:themeColor="text1"/>
          <w:u w:val="single"/>
          <w:lang w:val="ro-RO"/>
        </w:rPr>
        <w:t>Modalitatea de selecție</w:t>
      </w:r>
    </w:p>
    <w:p w:rsidR="00C83737" w:rsidRPr="009D671C" w:rsidRDefault="00C83737" w:rsidP="003C37E8">
      <w:pPr>
        <w:tabs>
          <w:tab w:val="left" w:pos="0"/>
        </w:tabs>
        <w:spacing w:after="0" w:line="240" w:lineRule="auto"/>
        <w:ind w:left="-360" w:hanging="360"/>
        <w:rPr>
          <w:rFonts w:eastAsia="Calibri" w:cs="Arial"/>
          <w:bCs/>
          <w:lang w:val="ro-RO"/>
        </w:rPr>
      </w:pPr>
      <w:r w:rsidRPr="00D65A18">
        <w:rPr>
          <w:rFonts w:eastAsia="Calibri" w:cs="Arial"/>
          <w:bCs/>
          <w:color w:val="000000" w:themeColor="text1"/>
          <w:lang w:val="ro-RO"/>
        </w:rPr>
        <w:t>5.1</w:t>
      </w:r>
      <w:r>
        <w:rPr>
          <w:rFonts w:eastAsia="Calibri" w:cs="Arial"/>
          <w:bCs/>
          <w:color w:val="000000" w:themeColor="text1"/>
          <w:lang w:val="ro-RO"/>
        </w:rPr>
        <w:t>.</w:t>
      </w:r>
      <w:r w:rsidRPr="00D65A18">
        <w:rPr>
          <w:rFonts w:eastAsia="Calibri" w:cs="Arial"/>
          <w:bCs/>
          <w:color w:val="000000" w:themeColor="text1"/>
          <w:lang w:val="ro-RO"/>
        </w:rPr>
        <w:tab/>
        <w:t xml:space="preserve">Criteriul de atribuire va fi: „prețul cel mai </w:t>
      </w:r>
      <w:r w:rsidR="002C0CB3">
        <w:rPr>
          <w:rFonts w:eastAsia="Calibri" w:cs="Arial"/>
          <w:bCs/>
          <w:color w:val="000000" w:themeColor="text1"/>
          <w:lang w:val="ro-RO"/>
        </w:rPr>
        <w:t>scăzut</w:t>
      </w:r>
      <w:r w:rsidRPr="00D65A18">
        <w:rPr>
          <w:rFonts w:eastAsia="Calibri" w:cs="Arial"/>
          <w:bCs/>
          <w:color w:val="000000" w:themeColor="text1"/>
          <w:lang w:val="ro-RO"/>
        </w:rPr>
        <w:t xml:space="preserve">”, </w:t>
      </w:r>
      <w:r w:rsidRPr="009D671C">
        <w:rPr>
          <w:rFonts w:eastAsia="Calibri" w:cs="Arial"/>
          <w:bCs/>
          <w:lang w:val="ro-RO"/>
        </w:rPr>
        <w:t>dintre ofertanții ce îndep</w:t>
      </w:r>
      <w:r>
        <w:rPr>
          <w:rFonts w:eastAsia="Calibri" w:cs="Arial"/>
          <w:bCs/>
          <w:lang w:val="ro-RO"/>
        </w:rPr>
        <w:t>linesc cerințele tehnice (oferta tehnică).</w:t>
      </w:r>
    </w:p>
    <w:p w:rsidR="00C83737" w:rsidRPr="009D671C" w:rsidRDefault="00C83737" w:rsidP="00117AFB">
      <w:pPr>
        <w:tabs>
          <w:tab w:val="left" w:pos="0"/>
        </w:tabs>
        <w:spacing w:after="0" w:line="240" w:lineRule="auto"/>
        <w:ind w:left="-360" w:hanging="360"/>
        <w:rPr>
          <w:rFonts w:eastAsia="Calibri" w:cs="Arial"/>
          <w:bCs/>
          <w:lang w:val="ro-RO"/>
        </w:rPr>
      </w:pPr>
      <w:r>
        <w:rPr>
          <w:rFonts w:eastAsia="Calibri" w:cs="Arial"/>
          <w:bCs/>
          <w:lang w:val="ro-RO"/>
        </w:rPr>
        <w:t>5</w:t>
      </w:r>
      <w:r w:rsidRPr="009D671C">
        <w:rPr>
          <w:rFonts w:eastAsia="Calibri" w:cs="Arial"/>
          <w:bCs/>
          <w:lang w:val="ro-RO"/>
        </w:rPr>
        <w:t>.2</w:t>
      </w:r>
      <w:r>
        <w:rPr>
          <w:rFonts w:eastAsia="Calibri" w:cs="Arial"/>
          <w:bCs/>
          <w:lang w:val="ro-RO"/>
        </w:rPr>
        <w:t>.</w:t>
      </w:r>
      <w:r w:rsidRPr="009D671C">
        <w:rPr>
          <w:rFonts w:eastAsia="Calibri" w:cs="Arial"/>
          <w:bCs/>
          <w:lang w:val="ro-RO"/>
        </w:rPr>
        <w:tab/>
        <w:t>Prestarea contractului de servicii nu obligă autoritatea contractantă la plata altor servicii sau cheltuieli complementare, rezultate în afara celor menționate în caietul de sarcini</w:t>
      </w:r>
      <w:r>
        <w:rPr>
          <w:rFonts w:eastAsia="Calibri" w:cs="Arial"/>
          <w:bCs/>
          <w:lang w:val="ro-RO"/>
        </w:rPr>
        <w:t>.</w:t>
      </w:r>
    </w:p>
    <w:p w:rsidR="00C83737" w:rsidRPr="00D65A18" w:rsidRDefault="00C83737" w:rsidP="00C83737">
      <w:pPr>
        <w:tabs>
          <w:tab w:val="left" w:pos="709"/>
        </w:tabs>
        <w:spacing w:before="120" w:after="0"/>
        <w:ind w:left="-360" w:right="51" w:hanging="360"/>
        <w:rPr>
          <w:b/>
          <w:u w:val="single"/>
          <w:lang w:val="ro-RO"/>
        </w:rPr>
      </w:pPr>
      <w:r>
        <w:rPr>
          <w:b/>
          <w:u w:val="single"/>
          <w:lang w:val="ro-RO"/>
        </w:rPr>
        <w:t xml:space="preserve">6. </w:t>
      </w:r>
      <w:r w:rsidRPr="00D65A18">
        <w:rPr>
          <w:b/>
          <w:u w:val="single"/>
          <w:lang w:val="ro-RO"/>
        </w:rPr>
        <w:t>Condiții de plată</w:t>
      </w:r>
    </w:p>
    <w:p w:rsidR="00C83737" w:rsidRPr="00D65A18" w:rsidRDefault="00C83737" w:rsidP="00C83737">
      <w:pPr>
        <w:tabs>
          <w:tab w:val="left" w:pos="709"/>
        </w:tabs>
        <w:spacing w:before="120" w:after="0"/>
        <w:ind w:left="-360" w:right="51" w:hanging="360"/>
        <w:rPr>
          <w:b/>
          <w:u w:val="single"/>
          <w:lang w:val="ro-RO"/>
        </w:rPr>
      </w:pPr>
      <w:r>
        <w:rPr>
          <w:rFonts w:eastAsia="Times New Roman" w:cs="Arial"/>
          <w:lang w:val="ro-RO" w:eastAsia="ro-RO"/>
        </w:rPr>
        <w:t xml:space="preserve">6.1. </w:t>
      </w:r>
      <w:r w:rsidRPr="00D65A18">
        <w:rPr>
          <w:rFonts w:eastAsia="Times New Roman" w:cs="Arial"/>
          <w:lang w:val="ro-RO" w:eastAsia="ro-RO"/>
        </w:rPr>
        <w:t xml:space="preserve">Preţul convenit în lei pentru îndeplinirea contractului, respectiv preţul serviciilor prestate, plătibil </w:t>
      </w:r>
      <w:r w:rsidR="00F04FA3">
        <w:rPr>
          <w:rFonts w:eastAsia="Times New Roman" w:cs="Arial"/>
          <w:lang w:val="ro-RO" w:eastAsia="ro-RO"/>
        </w:rPr>
        <w:t>operatorului economic</w:t>
      </w:r>
      <w:r w:rsidRPr="00D65A18">
        <w:rPr>
          <w:rFonts w:eastAsia="Times New Roman" w:cs="Arial"/>
          <w:lang w:val="ro-RO" w:eastAsia="ro-RO"/>
        </w:rPr>
        <w:t xml:space="preserve"> de către </w:t>
      </w:r>
      <w:r w:rsidR="009E6EDC">
        <w:rPr>
          <w:rFonts w:eastAsia="Times New Roman" w:cs="Arial"/>
          <w:lang w:val="ro-RO" w:eastAsia="ro-RO"/>
        </w:rPr>
        <w:t>autoritatea contractantă</w:t>
      </w:r>
      <w:r w:rsidRPr="00D65A18">
        <w:rPr>
          <w:rFonts w:eastAsia="Times New Roman" w:cs="Arial"/>
          <w:lang w:val="ro-RO" w:eastAsia="ro-RO"/>
        </w:rPr>
        <w:t xml:space="preserve"> este cel inclus de </w:t>
      </w:r>
      <w:r w:rsidR="00F04FA3">
        <w:rPr>
          <w:rFonts w:eastAsia="Times New Roman" w:cs="Arial"/>
          <w:lang w:val="ro-RO" w:eastAsia="ro-RO"/>
        </w:rPr>
        <w:t>operatorul economic</w:t>
      </w:r>
      <w:r w:rsidRPr="00D65A18">
        <w:rPr>
          <w:rFonts w:eastAsia="Times New Roman" w:cs="Arial"/>
          <w:lang w:val="ro-RO" w:eastAsia="ro-RO"/>
        </w:rPr>
        <w:t xml:space="preserve"> câștigător în propunerea financiară și publicat în S.E.A.P.</w:t>
      </w:r>
    </w:p>
    <w:p w:rsidR="00C83737" w:rsidRPr="0005042E" w:rsidRDefault="00C83737" w:rsidP="00C83737">
      <w:pPr>
        <w:pStyle w:val="ListParagraph"/>
        <w:numPr>
          <w:ilvl w:val="1"/>
          <w:numId w:val="8"/>
        </w:numPr>
        <w:ind w:left="-360"/>
        <w:rPr>
          <w:lang w:val="ro-RO"/>
        </w:rPr>
      </w:pPr>
      <w:r>
        <w:rPr>
          <w:lang w:val="ro-RO"/>
        </w:rPr>
        <w:t xml:space="preserve">. </w:t>
      </w:r>
      <w:r w:rsidRPr="0005042E">
        <w:rPr>
          <w:lang w:val="ro-RO"/>
        </w:rPr>
        <w:t>Prețul convenit include și costul deplasării la locul de depozitare</w:t>
      </w:r>
      <w:r w:rsidR="008D100B">
        <w:rPr>
          <w:lang w:val="ro-RO"/>
        </w:rPr>
        <w:t xml:space="preserve"> al bunului mobil</w:t>
      </w:r>
      <w:r w:rsidRPr="0005042E">
        <w:rPr>
          <w:lang w:val="ro-RO"/>
        </w:rPr>
        <w:t>.</w:t>
      </w:r>
    </w:p>
    <w:p w:rsidR="00C83737" w:rsidRDefault="00C83737" w:rsidP="00C83737">
      <w:pPr>
        <w:pStyle w:val="ListParagraph"/>
        <w:numPr>
          <w:ilvl w:val="1"/>
          <w:numId w:val="8"/>
        </w:numPr>
        <w:ind w:left="-360"/>
        <w:rPr>
          <w:lang w:val="ro-RO"/>
        </w:rPr>
      </w:pPr>
      <w:r>
        <w:rPr>
          <w:lang w:val="ro-RO"/>
        </w:rPr>
        <w:t xml:space="preserve">. </w:t>
      </w:r>
      <w:r w:rsidRPr="00D53618">
        <w:rPr>
          <w:lang w:val="ro-RO"/>
        </w:rPr>
        <w:t>Preţul contractului este ferm şi neajustabil, exprimat în lei, pe întreaga per</w:t>
      </w:r>
      <w:r>
        <w:rPr>
          <w:lang w:val="ro-RO"/>
        </w:rPr>
        <w:t xml:space="preserve">ioadă de derulare a </w:t>
      </w:r>
      <w:r w:rsidRPr="00D53618">
        <w:rPr>
          <w:lang w:val="ro-RO"/>
        </w:rPr>
        <w:t>contract</w:t>
      </w:r>
      <w:r>
        <w:rPr>
          <w:lang w:val="ro-RO"/>
        </w:rPr>
        <w:t>ului</w:t>
      </w:r>
      <w:r w:rsidR="00435418">
        <w:rPr>
          <w:lang w:val="ro-RO"/>
        </w:rPr>
        <w:t>.</w:t>
      </w:r>
    </w:p>
    <w:p w:rsidR="00C83737" w:rsidRPr="00117AFB" w:rsidRDefault="00C83737" w:rsidP="00117AFB">
      <w:pPr>
        <w:pStyle w:val="ListParagraph"/>
        <w:ind w:left="-360" w:hanging="360"/>
        <w:rPr>
          <w:b/>
          <w:lang w:val="ro-RO"/>
        </w:rPr>
      </w:pPr>
      <w:r>
        <w:rPr>
          <w:lang w:val="ro-RO"/>
        </w:rPr>
        <w:t xml:space="preserve">6.4. </w:t>
      </w:r>
      <w:r w:rsidR="00435418">
        <w:rPr>
          <w:lang w:val="ro-RO"/>
        </w:rPr>
        <w:t>Autoritatea contractantă</w:t>
      </w:r>
      <w:r>
        <w:rPr>
          <w:lang w:val="ro-RO"/>
        </w:rPr>
        <w:t xml:space="preserve"> are obligaţia de a efectua plata serviciilor, după semnarea procesului verbal de recepţie cu mențiunea </w:t>
      </w:r>
      <w:r>
        <w:rPr>
          <w:b/>
          <w:lang w:val="ro-RO"/>
        </w:rPr>
        <w:t>„fără obiecțiuni”,</w:t>
      </w:r>
      <w:r>
        <w:rPr>
          <w:lang w:val="ro-RO"/>
        </w:rPr>
        <w:t xml:space="preserve"> în termen de 30 zile de la data primirii facturii, emisă de către </w:t>
      </w:r>
      <w:r w:rsidR="00F04FA3">
        <w:rPr>
          <w:lang w:val="ro-RO"/>
        </w:rPr>
        <w:t>operatorul economic</w:t>
      </w:r>
      <w:r>
        <w:rPr>
          <w:lang w:val="ro-RO"/>
        </w:rPr>
        <w:t xml:space="preserve"> (cu respectarea termenului maxim prevăzut de Legea nr. 72/2013)</w:t>
      </w:r>
      <w:r w:rsidRPr="00B32982">
        <w:rPr>
          <w:b/>
          <w:lang w:val="ro-RO"/>
        </w:rPr>
        <w:t>.</w:t>
      </w:r>
    </w:p>
    <w:p w:rsidR="00C83737" w:rsidRPr="00394923" w:rsidRDefault="00C83737" w:rsidP="00C83737">
      <w:pPr>
        <w:pStyle w:val="WW-TextBody"/>
        <w:tabs>
          <w:tab w:val="left" w:pos="720"/>
        </w:tabs>
        <w:spacing w:before="120" w:line="276" w:lineRule="auto"/>
        <w:ind w:left="-360" w:right="51" w:hanging="360"/>
        <w:jc w:val="both"/>
        <w:rPr>
          <w:rFonts w:ascii="Trebuchet MS" w:hAnsi="Trebuchet MS" w:cs="Trebuchet MS"/>
          <w:b/>
          <w:bCs/>
          <w:color w:val="auto"/>
          <w:sz w:val="22"/>
          <w:u w:val="single"/>
          <w:lang w:val="ro-RO"/>
        </w:rPr>
      </w:pPr>
      <w:r>
        <w:rPr>
          <w:rFonts w:ascii="Trebuchet MS" w:hAnsi="Trebuchet MS" w:cs="Trebuchet MS"/>
          <w:b/>
          <w:bCs/>
          <w:color w:val="auto"/>
          <w:sz w:val="22"/>
          <w:u w:val="single"/>
          <w:lang w:val="ro-RO"/>
        </w:rPr>
        <w:t xml:space="preserve">7. </w:t>
      </w:r>
      <w:r w:rsidRPr="00394923">
        <w:rPr>
          <w:rFonts w:ascii="Trebuchet MS" w:hAnsi="Trebuchet MS" w:cs="Trebuchet MS"/>
          <w:b/>
          <w:bCs/>
          <w:color w:val="auto"/>
          <w:sz w:val="22"/>
          <w:u w:val="single"/>
          <w:lang w:val="ro-RO"/>
        </w:rPr>
        <w:t>Dispoziții finale</w:t>
      </w:r>
    </w:p>
    <w:p w:rsidR="00C83737" w:rsidRPr="00D65A18" w:rsidRDefault="00C83737" w:rsidP="00C83737">
      <w:pPr>
        <w:pStyle w:val="ListParagraph"/>
        <w:numPr>
          <w:ilvl w:val="1"/>
          <w:numId w:val="7"/>
        </w:numPr>
        <w:spacing w:before="120" w:after="0"/>
        <w:ind w:left="-360" w:right="51"/>
        <w:rPr>
          <w:lang w:val="ro-RO"/>
        </w:rPr>
      </w:pPr>
      <w:r>
        <w:rPr>
          <w:lang w:val="ro-RO"/>
        </w:rPr>
        <w:t xml:space="preserve">. </w:t>
      </w:r>
      <w:r w:rsidR="00EF5AD6">
        <w:rPr>
          <w:lang w:val="ro-RO"/>
        </w:rPr>
        <w:t>Agenția</w:t>
      </w:r>
      <w:r w:rsidRPr="00D65A18">
        <w:rPr>
          <w:lang w:val="ro-RO"/>
        </w:rPr>
        <w:t xml:space="preserve"> poate depune observații cu privire la raportul inițial în termen de 3 zile lucrătoare de la primirea</w:t>
      </w:r>
      <w:r>
        <w:rPr>
          <w:lang w:val="ro-RO"/>
        </w:rPr>
        <w:t xml:space="preserve"> acestuia.</w:t>
      </w:r>
    </w:p>
    <w:p w:rsidR="00C83737" w:rsidRDefault="00C83737" w:rsidP="00C83737">
      <w:pPr>
        <w:pStyle w:val="ListParagraph"/>
        <w:numPr>
          <w:ilvl w:val="1"/>
          <w:numId w:val="7"/>
        </w:numPr>
        <w:spacing w:before="120" w:after="0"/>
        <w:ind w:left="-360" w:right="51"/>
        <w:rPr>
          <w:lang w:val="ro-RO"/>
        </w:rPr>
      </w:pPr>
      <w:r>
        <w:rPr>
          <w:lang w:val="ro-RO"/>
        </w:rPr>
        <w:t xml:space="preserve">. </w:t>
      </w:r>
      <w:r w:rsidRPr="006621F2">
        <w:rPr>
          <w:lang w:val="ro-RO"/>
        </w:rPr>
        <w:t xml:space="preserve">În cazul în care </w:t>
      </w:r>
      <w:r w:rsidR="00435418">
        <w:rPr>
          <w:lang w:val="ro-RO"/>
        </w:rPr>
        <w:t>autoritatea contractantă</w:t>
      </w:r>
      <w:r w:rsidRPr="006621F2">
        <w:rPr>
          <w:lang w:val="ro-RO"/>
        </w:rPr>
        <w:t xml:space="preserve"> formulează observații cu privire la raportul inițial, </w:t>
      </w:r>
      <w:r w:rsidR="00F04FA3">
        <w:rPr>
          <w:lang w:val="ro-RO"/>
        </w:rPr>
        <w:t>operatorul economic</w:t>
      </w:r>
      <w:r w:rsidRPr="006621F2">
        <w:rPr>
          <w:lang w:val="ro-RO"/>
        </w:rPr>
        <w:t xml:space="preserve"> are obligația de a remedia elementele care fac obiectul observațiilor </w:t>
      </w:r>
      <w:r w:rsidR="00CF1CFE">
        <w:rPr>
          <w:lang w:val="ro-RO"/>
        </w:rPr>
        <w:t>autorității contractante</w:t>
      </w:r>
      <w:r w:rsidRPr="006621F2">
        <w:rPr>
          <w:lang w:val="ro-RO"/>
        </w:rPr>
        <w:t xml:space="preserve"> în termen de 3 zile lucrătoare.</w:t>
      </w:r>
    </w:p>
    <w:p w:rsidR="00C83737" w:rsidRDefault="00C83737" w:rsidP="00C83737">
      <w:pPr>
        <w:pStyle w:val="ListParagraph"/>
        <w:spacing w:before="120" w:after="0"/>
        <w:ind w:left="-360" w:right="51" w:hanging="360"/>
        <w:rPr>
          <w:lang w:val="ro-RO"/>
        </w:rPr>
      </w:pPr>
    </w:p>
    <w:p w:rsidR="00C83737" w:rsidRDefault="00C83737" w:rsidP="00C83737">
      <w:pPr>
        <w:pStyle w:val="ListParagraph"/>
        <w:spacing w:before="120" w:after="0"/>
        <w:ind w:left="-360" w:right="51" w:hanging="360"/>
        <w:rPr>
          <w:lang w:val="ro-RO"/>
        </w:rPr>
      </w:pPr>
    </w:p>
    <w:p w:rsidR="00C83737" w:rsidRPr="006621F2" w:rsidRDefault="00C83737" w:rsidP="00C83737">
      <w:pPr>
        <w:pStyle w:val="ListParagraph"/>
        <w:spacing w:before="120" w:after="0"/>
        <w:ind w:left="-720" w:right="51"/>
        <w:rPr>
          <w:lang w:val="ro-RO"/>
        </w:rPr>
      </w:pPr>
    </w:p>
    <w:p w:rsidR="008F0B19" w:rsidRDefault="008F0B19" w:rsidP="00142783">
      <w:pPr>
        <w:ind w:left="0"/>
      </w:pPr>
      <w:bookmarkStart w:id="0" w:name="_GoBack"/>
      <w:bookmarkEnd w:id="0"/>
    </w:p>
    <w:p w:rsidR="00212A34" w:rsidRPr="008F0B19" w:rsidRDefault="008F0B19" w:rsidP="008F0B19">
      <w:pPr>
        <w:tabs>
          <w:tab w:val="left" w:pos="3423"/>
        </w:tabs>
      </w:pPr>
      <w:r>
        <w:tab/>
      </w:r>
    </w:p>
    <w:sectPr w:rsidR="00212A34" w:rsidRPr="008F0B19" w:rsidSect="00C83737">
      <w:headerReference w:type="default" r:id="rId8"/>
      <w:footerReference w:type="default" r:id="rId9"/>
      <w:headerReference w:type="first" r:id="rId10"/>
      <w:footerReference w:type="first" r:id="rId11"/>
      <w:pgSz w:w="11900" w:h="16840" w:code="9"/>
      <w:pgMar w:top="1418" w:right="920" w:bottom="1418" w:left="2268" w:header="567" w:footer="1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34E" w:rsidRDefault="006B334E" w:rsidP="00CD5B3B">
      <w:r>
        <w:separator/>
      </w:r>
    </w:p>
  </w:endnote>
  <w:endnote w:type="continuationSeparator" w:id="0">
    <w:p w:rsidR="006B334E" w:rsidRDefault="006B334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243927"/>
      <w:docPartObj>
        <w:docPartGallery w:val="Page Numbers (Top of Page)"/>
        <w:docPartUnique/>
      </w:docPartObj>
    </w:sdtPr>
    <w:sdtEndPr/>
    <w:sdtContent>
      <w:p w:rsidR="00F54CE0" w:rsidRPr="00F54CE0" w:rsidRDefault="00F54CE0" w:rsidP="00F54CE0">
        <w:pPr>
          <w:pBdr>
            <w:bottom w:val="single" w:sz="12" w:space="1" w:color="auto"/>
          </w:pBdr>
          <w:tabs>
            <w:tab w:val="center" w:pos="4536"/>
            <w:tab w:val="right" w:pos="9072"/>
          </w:tabs>
          <w:spacing w:after="0" w:line="240" w:lineRule="auto"/>
          <w:ind w:left="0"/>
          <w:jc w:val="left"/>
        </w:pPr>
      </w:p>
      <w:p w:rsidR="00235586" w:rsidRPr="00F54CE0" w:rsidRDefault="00235586" w:rsidP="0006771F">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rsidR="00F54CE0" w:rsidRPr="00F54CE0" w:rsidRDefault="00F54CE0" w:rsidP="0006771F">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142783">
          <w:rPr>
            <w:bCs/>
            <w:noProof/>
            <w:sz w:val="14"/>
            <w:szCs w:val="14"/>
            <w:lang w:val="ro-RO"/>
          </w:rPr>
          <w:t>3</w:t>
        </w:r>
        <w:r w:rsidRPr="00F54CE0">
          <w:rPr>
            <w:bCs/>
            <w:sz w:val="14"/>
            <w:szCs w:val="14"/>
            <w:lang w:val="ro-RO"/>
          </w:rPr>
          <w:fldChar w:fldCharType="end"/>
        </w:r>
        <w:r w:rsidRPr="00F54CE0">
          <w:rPr>
            <w:sz w:val="14"/>
            <w:szCs w:val="14"/>
            <w:lang w:val="ro-RO"/>
          </w:rPr>
          <w:t xml:space="preserve"> din </w:t>
        </w:r>
        <w:r w:rsidRPr="00F54CE0">
          <w:rPr>
            <w:bCs/>
            <w:sz w:val="14"/>
            <w:szCs w:val="14"/>
            <w:lang w:val="ro-RO"/>
          </w:rPr>
          <w:fldChar w:fldCharType="begin"/>
        </w:r>
        <w:r w:rsidRPr="00F54CE0">
          <w:rPr>
            <w:bCs/>
            <w:sz w:val="14"/>
            <w:szCs w:val="14"/>
            <w:lang w:val="ro-RO"/>
          </w:rPr>
          <w:instrText xml:space="preserve"> NUMPAGES  </w:instrText>
        </w:r>
        <w:r w:rsidRPr="00F54CE0">
          <w:rPr>
            <w:bCs/>
            <w:sz w:val="14"/>
            <w:szCs w:val="14"/>
            <w:lang w:val="ro-RO"/>
          </w:rPr>
          <w:fldChar w:fldCharType="separate"/>
        </w:r>
        <w:r w:rsidR="00142783">
          <w:rPr>
            <w:bCs/>
            <w:noProof/>
            <w:sz w:val="14"/>
            <w:szCs w:val="14"/>
            <w:lang w:val="ro-RO"/>
          </w:rPr>
          <w:t>3</w:t>
        </w:r>
        <w:r w:rsidRPr="00F54CE0">
          <w:rPr>
            <w:bCs/>
            <w:sz w:val="14"/>
            <w:szCs w:val="14"/>
            <w:lang w:val="ro-RO"/>
          </w:rPr>
          <w:fldChar w:fldCharType="end"/>
        </w:r>
      </w:p>
      <w:p w:rsidR="00F54CE0" w:rsidRPr="00F54CE0" w:rsidRDefault="00F54CE0" w:rsidP="0006771F">
        <w:pPr>
          <w:tabs>
            <w:tab w:val="center" w:pos="4320"/>
            <w:tab w:val="right" w:pos="8640"/>
          </w:tabs>
          <w:spacing w:afterLines="120" w:after="288" w:line="240" w:lineRule="auto"/>
          <w:ind w:left="0"/>
        </w:pPr>
        <w:r w:rsidRPr="00F54CE0">
          <w:rPr>
            <w:color w:val="000000"/>
            <w:sz w:val="14"/>
            <w:szCs w:val="14"/>
            <w:lang w:val="ro-RO"/>
          </w:rPr>
          <w:t xml:space="preserve">www.just.ro; anabi.just.ro     </w:t>
        </w:r>
      </w:p>
    </w:sdtContent>
  </w:sdt>
  <w:p w:rsidR="00E80D5E" w:rsidRPr="00490386" w:rsidRDefault="00E80D5E" w:rsidP="00E80D5E">
    <w:pPr>
      <w:pStyle w:val="Footer"/>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035445"/>
      <w:docPartObj>
        <w:docPartGallery w:val="Page Numbers (Top of Page)"/>
        <w:docPartUnique/>
      </w:docPartObj>
    </w:sdtPr>
    <w:sdtEndPr/>
    <w:sdtContent>
      <w:p w:rsidR="00F54CE0" w:rsidRPr="00F54CE0" w:rsidRDefault="00F54CE0" w:rsidP="00F54CE0">
        <w:pPr>
          <w:pBdr>
            <w:bottom w:val="single" w:sz="12" w:space="1" w:color="auto"/>
          </w:pBdr>
          <w:tabs>
            <w:tab w:val="center" w:pos="4536"/>
            <w:tab w:val="right" w:pos="9072"/>
          </w:tabs>
          <w:spacing w:after="0" w:line="240" w:lineRule="auto"/>
          <w:ind w:left="0"/>
          <w:jc w:val="left"/>
        </w:pPr>
      </w:p>
      <w:p w:rsidR="00F54CE0" w:rsidRPr="00F54CE0" w:rsidRDefault="00235586" w:rsidP="0006771F">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00F54CE0" w:rsidRPr="00F54CE0">
          <w:rPr>
            <w:color w:val="000000"/>
            <w:sz w:val="14"/>
            <w:szCs w:val="14"/>
            <w:lang w:val="ro-RO"/>
          </w:rPr>
          <w:t xml:space="preserve"> Bucureşti, România</w:t>
        </w:r>
      </w:p>
      <w:p w:rsidR="00F54CE0" w:rsidRPr="00F54CE0" w:rsidRDefault="00F54CE0" w:rsidP="0006771F">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142783">
          <w:rPr>
            <w:bCs/>
            <w:noProof/>
            <w:sz w:val="14"/>
            <w:szCs w:val="14"/>
            <w:lang w:val="ro-RO"/>
          </w:rPr>
          <w:t>1</w:t>
        </w:r>
        <w:r w:rsidRPr="00F54CE0">
          <w:rPr>
            <w:bCs/>
            <w:sz w:val="14"/>
            <w:szCs w:val="14"/>
            <w:lang w:val="ro-RO"/>
          </w:rPr>
          <w:fldChar w:fldCharType="end"/>
        </w:r>
        <w:r w:rsidRPr="00F54CE0">
          <w:rPr>
            <w:sz w:val="14"/>
            <w:szCs w:val="14"/>
            <w:lang w:val="ro-RO"/>
          </w:rPr>
          <w:t xml:space="preserve"> din </w:t>
        </w:r>
        <w:r w:rsidRPr="00F54CE0">
          <w:rPr>
            <w:bCs/>
            <w:sz w:val="14"/>
            <w:szCs w:val="14"/>
            <w:lang w:val="ro-RO"/>
          </w:rPr>
          <w:fldChar w:fldCharType="begin"/>
        </w:r>
        <w:r w:rsidRPr="00F54CE0">
          <w:rPr>
            <w:bCs/>
            <w:sz w:val="14"/>
            <w:szCs w:val="14"/>
            <w:lang w:val="ro-RO"/>
          </w:rPr>
          <w:instrText xml:space="preserve"> NUMPAGES  </w:instrText>
        </w:r>
        <w:r w:rsidRPr="00F54CE0">
          <w:rPr>
            <w:bCs/>
            <w:sz w:val="14"/>
            <w:szCs w:val="14"/>
            <w:lang w:val="ro-RO"/>
          </w:rPr>
          <w:fldChar w:fldCharType="separate"/>
        </w:r>
        <w:r w:rsidR="00142783">
          <w:rPr>
            <w:bCs/>
            <w:noProof/>
            <w:sz w:val="14"/>
            <w:szCs w:val="14"/>
            <w:lang w:val="ro-RO"/>
          </w:rPr>
          <w:t>3</w:t>
        </w:r>
        <w:r w:rsidRPr="00F54CE0">
          <w:rPr>
            <w:bCs/>
            <w:sz w:val="14"/>
            <w:szCs w:val="14"/>
            <w:lang w:val="ro-RO"/>
          </w:rPr>
          <w:fldChar w:fldCharType="end"/>
        </w:r>
      </w:p>
      <w:p w:rsidR="00F54CE0" w:rsidRPr="00F54CE0" w:rsidRDefault="00F54CE0" w:rsidP="0006771F">
        <w:pPr>
          <w:tabs>
            <w:tab w:val="center" w:pos="4320"/>
            <w:tab w:val="right" w:pos="8640"/>
          </w:tabs>
          <w:spacing w:afterLines="120" w:after="288" w:line="240" w:lineRule="auto"/>
          <w:ind w:left="0"/>
        </w:pPr>
        <w:r w:rsidRPr="00F54CE0">
          <w:rPr>
            <w:color w:val="000000"/>
            <w:sz w:val="14"/>
            <w:szCs w:val="14"/>
            <w:lang w:val="ro-RO"/>
          </w:rPr>
          <w:t xml:space="preserve">www.just.ro; anabi.just.ro     </w:t>
        </w:r>
      </w:p>
    </w:sdtContent>
  </w:sdt>
  <w:p w:rsidR="00E80D5E" w:rsidRPr="00442782" w:rsidRDefault="00E80D5E" w:rsidP="00036CF6">
    <w:pPr>
      <w:pStyle w:val="Footer"/>
      <w:ind w:left="0"/>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34E" w:rsidRDefault="006B334E" w:rsidP="00643EA1">
      <w:pPr>
        <w:spacing w:after="0"/>
        <w:ind w:left="0"/>
      </w:pPr>
      <w:r>
        <w:separator/>
      </w:r>
    </w:p>
  </w:footnote>
  <w:footnote w:type="continuationSeparator" w:id="0">
    <w:p w:rsidR="006B334E" w:rsidRDefault="006B334E" w:rsidP="00170BE7">
      <w:pPr>
        <w:ind w:left="0"/>
      </w:pPr>
      <w:r>
        <w:continuationSeparator/>
      </w:r>
    </w:p>
  </w:footnote>
  <w:footnote w:type="continuationNotice" w:id="1">
    <w:p w:rsidR="006B334E" w:rsidRDefault="006B334E" w:rsidP="00170BE7">
      <w:pPr>
        <w:spacing w:after="0" w:line="240" w:lineRule="auto"/>
        <w:ind w:left="0"/>
      </w:pPr>
    </w:p>
  </w:footnote>
  <w:footnote w:id="2">
    <w:p w:rsidR="00C83737" w:rsidRPr="0008554A" w:rsidRDefault="00C83737" w:rsidP="00C83737">
      <w:pPr>
        <w:pStyle w:val="FootnoteText"/>
        <w:rPr>
          <w:sz w:val="14"/>
          <w:szCs w:val="14"/>
          <w:lang w:val="ro-RO"/>
        </w:rPr>
      </w:pPr>
      <w:r w:rsidRPr="0008554A">
        <w:rPr>
          <w:rStyle w:val="FootnoteReference"/>
          <w:sz w:val="14"/>
          <w:szCs w:val="14"/>
        </w:rPr>
        <w:footnoteRef/>
      </w:r>
      <w:r w:rsidRPr="0008554A">
        <w:rPr>
          <w:sz w:val="14"/>
          <w:szCs w:val="14"/>
        </w:rPr>
        <w:t xml:space="preserve"> </w:t>
      </w:r>
      <w:r w:rsidRPr="009374C2">
        <w:rPr>
          <w:sz w:val="14"/>
          <w:szCs w:val="14"/>
          <w:vertAlign w:val="superscript"/>
        </w:rPr>
        <w:footnoteRef/>
      </w:r>
      <w:r w:rsidRPr="009374C2">
        <w:rPr>
          <w:sz w:val="14"/>
          <w:szCs w:val="14"/>
        </w:rPr>
        <w:t xml:space="preserve"> Legea nr. 318/20015 pentru înfiinţarea, organizarea şi funcţionarea Agenţiei Naţionale de Administrare a Bunurilor Indisponibilizate şi pentru modificarea şi completarea unor acte normative, publicat</w:t>
      </w:r>
      <w:r w:rsidRPr="009374C2">
        <w:rPr>
          <w:sz w:val="14"/>
          <w:szCs w:val="14"/>
          <w:lang w:val="ro-RO"/>
        </w:rPr>
        <w:t>ă</w:t>
      </w:r>
      <w:r w:rsidRPr="009374C2">
        <w:rPr>
          <w:sz w:val="14"/>
          <w:szCs w:val="14"/>
        </w:rPr>
        <w:t xml:space="preserve"> în Monitorul Oficial, Partea I nr. 961 din 24 decembrie 2015, în vigoare de la 27 decembrie 2015.</w:t>
      </w:r>
    </w:p>
  </w:footnote>
  <w:footnote w:id="3">
    <w:p w:rsidR="00C83737" w:rsidRPr="00BA1C4B" w:rsidRDefault="00C83737" w:rsidP="00C83737">
      <w:pPr>
        <w:pStyle w:val="FootnoteText"/>
        <w:rPr>
          <w:lang w:val="ro-RO"/>
        </w:rPr>
      </w:pPr>
      <w:r w:rsidRPr="00BA1C4B">
        <w:rPr>
          <w:rStyle w:val="FootnoteReference"/>
          <w:sz w:val="14"/>
          <w:szCs w:val="14"/>
        </w:rPr>
        <w:footnoteRef/>
      </w:r>
      <w:r w:rsidRPr="00BA1C4B">
        <w:rPr>
          <w:sz w:val="14"/>
          <w:szCs w:val="14"/>
        </w:rPr>
        <w:t xml:space="preserve"> Art. 28 alin. (1) dispune:</w:t>
      </w:r>
      <w:r>
        <w:t xml:space="preserve"> ”</w:t>
      </w:r>
      <w:r w:rsidRPr="00BA1C4B">
        <w:rPr>
          <w:sz w:val="14"/>
          <w:szCs w:val="14"/>
        </w:rPr>
        <w:t>La solicitarea procurorului sau a instanţei de judecată, Agenţia depozitează temporar şi administrează bunurile mobile indisponibilizate a căror valoare individuală depăşeşte, la momentul dispunerii măsurii asigurătorii, echivalentul în lei al sumei de 15.000 euro; în acest scop, Agenţia este numită custode, în sensul art. 252 alin. (9) din Legea nr. 135/2010, cu modificările şi completările ulterioare</w:t>
      </w:r>
      <w:r>
        <w:rPr>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5E" w:rsidRPr="00CD5B3B" w:rsidRDefault="00F54CE0" w:rsidP="008A4458">
    <w:pPr>
      <w:pStyle w:val="Header"/>
      <w:ind w:left="0"/>
    </w:pPr>
    <w:r>
      <w:rPr>
        <w:noProof/>
        <w:sz w:val="2"/>
        <w:szCs w:val="2"/>
        <w:lang w:val="ro-RO" w:eastAsia="ro-RO"/>
      </w:rPr>
      <w:drawing>
        <wp:inline distT="0" distB="0" distL="0" distR="0" wp14:anchorId="5EA35923" wp14:editId="3B9F7A71">
          <wp:extent cx="3323590" cy="707390"/>
          <wp:effectExtent l="0" t="0" r="0" b="0"/>
          <wp:docPr id="1" name="Picture 1"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1701" w:type="dxa"/>
      <w:tblCellMar>
        <w:left w:w="0" w:type="dxa"/>
        <w:right w:w="0" w:type="dxa"/>
      </w:tblCellMar>
      <w:tblLook w:val="04A0" w:firstRow="1" w:lastRow="0" w:firstColumn="1" w:lastColumn="0" w:noHBand="0" w:noVBand="1"/>
    </w:tblPr>
    <w:tblGrid>
      <w:gridCol w:w="6990"/>
      <w:gridCol w:w="3925"/>
    </w:tblGrid>
    <w:tr w:rsidR="00DE5580" w:rsidTr="00DE5580">
      <w:tc>
        <w:tcPr>
          <w:tcW w:w="6804" w:type="dxa"/>
          <w:hideMark/>
        </w:tcPr>
        <w:p w:rsidR="00DE5580" w:rsidRDefault="00DE5580" w:rsidP="00DE5580">
          <w:pPr>
            <w:pStyle w:val="MediumGrid21"/>
          </w:pPr>
          <w:r>
            <w:rPr>
              <w:noProof/>
              <w:lang w:val="ro-RO" w:eastAsia="ro-RO"/>
            </w:rPr>
            <w:drawing>
              <wp:inline distT="0" distB="0" distL="0" distR="0" wp14:anchorId="70291C03" wp14:editId="74248C8F">
                <wp:extent cx="4436745" cy="1256030"/>
                <wp:effectExtent l="0" t="0" r="1905" b="127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6745" cy="1256030"/>
                        </a:xfrm>
                        <a:prstGeom prst="rect">
                          <a:avLst/>
                        </a:prstGeom>
                        <a:noFill/>
                        <a:ln>
                          <a:noFill/>
                        </a:ln>
                      </pic:spPr>
                    </pic:pic>
                  </a:graphicData>
                </a:graphic>
              </wp:inline>
            </w:drawing>
          </w:r>
        </w:p>
      </w:tc>
      <w:tc>
        <w:tcPr>
          <w:tcW w:w="4111" w:type="dxa"/>
          <w:vAlign w:val="center"/>
          <w:hideMark/>
        </w:tcPr>
        <w:p w:rsidR="00DE5580" w:rsidRDefault="00DE5580" w:rsidP="00DE5580">
          <w:pPr>
            <w:pStyle w:val="MediumGrid21"/>
            <w:jc w:val="right"/>
          </w:pPr>
        </w:p>
      </w:tc>
    </w:tr>
  </w:tbl>
  <w:p w:rsidR="00E80D5E" w:rsidRPr="00442782" w:rsidRDefault="00E80D5E" w:rsidP="002B2D08">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0E51"/>
    <w:multiLevelType w:val="hybridMultilevel"/>
    <w:tmpl w:val="C01A3940"/>
    <w:lvl w:ilvl="0" w:tplc="F8DCD250">
      <w:start w:val="1"/>
      <w:numFmt w:val="lowerRoman"/>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2" w15:restartNumberingAfterBreak="0">
    <w:nsid w:val="1E073725"/>
    <w:multiLevelType w:val="hybridMultilevel"/>
    <w:tmpl w:val="AA68EDB4"/>
    <w:lvl w:ilvl="0" w:tplc="04090019">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E2648D5"/>
    <w:multiLevelType w:val="hybridMultilevel"/>
    <w:tmpl w:val="B64C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7" w15:restartNumberingAfterBreak="0">
    <w:nsid w:val="554155FE"/>
    <w:multiLevelType w:val="hybridMultilevel"/>
    <w:tmpl w:val="9302321C"/>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6B3521C"/>
    <w:multiLevelType w:val="hybridMultilevel"/>
    <w:tmpl w:val="77AA284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5B89732B"/>
    <w:multiLevelType w:val="hybridMultilevel"/>
    <w:tmpl w:val="A6049B08"/>
    <w:lvl w:ilvl="0" w:tplc="9946B00E">
      <w:start w:val="3"/>
      <w:numFmt w:val="bullet"/>
      <w:lvlText w:val="-"/>
      <w:lvlJc w:val="left"/>
      <w:pPr>
        <w:ind w:left="420" w:hanging="360"/>
      </w:pPr>
      <w:rPr>
        <w:rFonts w:ascii="Trebuchet MS" w:eastAsia="MS Mincho" w:hAnsi="Trebuchet M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1" w15:restartNumberingAfterBreak="0">
    <w:nsid w:val="7ABA05D9"/>
    <w:multiLevelType w:val="multilevel"/>
    <w:tmpl w:val="EACC4684"/>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4"/>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num w:numId="1">
    <w:abstractNumId w:val="9"/>
  </w:num>
  <w:num w:numId="2">
    <w:abstractNumId w:val="8"/>
  </w:num>
  <w:num w:numId="3">
    <w:abstractNumId w:val="1"/>
  </w:num>
  <w:num w:numId="4">
    <w:abstractNumId w:val="6"/>
  </w:num>
  <w:num w:numId="5">
    <w:abstractNumId w:val="4"/>
  </w:num>
  <w:num w:numId="6">
    <w:abstractNumId w:val="11"/>
  </w:num>
  <w:num w:numId="7">
    <w:abstractNumId w:val="10"/>
  </w:num>
  <w:num w:numId="8">
    <w:abstractNumId w:val="5"/>
  </w:num>
  <w:num w:numId="9">
    <w:abstractNumId w:val="3"/>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12395"/>
    <w:rsid w:val="00023330"/>
    <w:rsid w:val="000320EB"/>
    <w:rsid w:val="00036CF6"/>
    <w:rsid w:val="00042767"/>
    <w:rsid w:val="000553CB"/>
    <w:rsid w:val="0006771F"/>
    <w:rsid w:val="000764A1"/>
    <w:rsid w:val="00090B3C"/>
    <w:rsid w:val="000C4E60"/>
    <w:rsid w:val="000F52D3"/>
    <w:rsid w:val="00100F36"/>
    <w:rsid w:val="00117AFB"/>
    <w:rsid w:val="00142783"/>
    <w:rsid w:val="00170BE7"/>
    <w:rsid w:val="00170E61"/>
    <w:rsid w:val="001A50AA"/>
    <w:rsid w:val="001D4233"/>
    <w:rsid w:val="001F5855"/>
    <w:rsid w:val="00212A34"/>
    <w:rsid w:val="002151A4"/>
    <w:rsid w:val="0022508F"/>
    <w:rsid w:val="00235586"/>
    <w:rsid w:val="00236DB3"/>
    <w:rsid w:val="00243287"/>
    <w:rsid w:val="00255904"/>
    <w:rsid w:val="002A5742"/>
    <w:rsid w:val="002B2D08"/>
    <w:rsid w:val="002C0CB3"/>
    <w:rsid w:val="002C5E09"/>
    <w:rsid w:val="002D6CF7"/>
    <w:rsid w:val="002E14C5"/>
    <w:rsid w:val="002E1F3A"/>
    <w:rsid w:val="002E23A4"/>
    <w:rsid w:val="002F2263"/>
    <w:rsid w:val="00312E32"/>
    <w:rsid w:val="0032422C"/>
    <w:rsid w:val="0032470C"/>
    <w:rsid w:val="00333DB7"/>
    <w:rsid w:val="0033554A"/>
    <w:rsid w:val="00362C57"/>
    <w:rsid w:val="003A5246"/>
    <w:rsid w:val="003C37E8"/>
    <w:rsid w:val="003D3EF2"/>
    <w:rsid w:val="003D43C0"/>
    <w:rsid w:val="004006D1"/>
    <w:rsid w:val="00405487"/>
    <w:rsid w:val="0043238A"/>
    <w:rsid w:val="00435418"/>
    <w:rsid w:val="00442782"/>
    <w:rsid w:val="004471CA"/>
    <w:rsid w:val="00462299"/>
    <w:rsid w:val="00482B80"/>
    <w:rsid w:val="00490386"/>
    <w:rsid w:val="004929AC"/>
    <w:rsid w:val="00493AD5"/>
    <w:rsid w:val="004B60FD"/>
    <w:rsid w:val="004C55F4"/>
    <w:rsid w:val="004F094D"/>
    <w:rsid w:val="00516381"/>
    <w:rsid w:val="00536D73"/>
    <w:rsid w:val="00543045"/>
    <w:rsid w:val="00545FAE"/>
    <w:rsid w:val="00554721"/>
    <w:rsid w:val="00572B37"/>
    <w:rsid w:val="00573F01"/>
    <w:rsid w:val="005C183D"/>
    <w:rsid w:val="005C3297"/>
    <w:rsid w:val="005D4DF5"/>
    <w:rsid w:val="005E6FFA"/>
    <w:rsid w:val="00603583"/>
    <w:rsid w:val="00604A8A"/>
    <w:rsid w:val="00604DD4"/>
    <w:rsid w:val="006168AA"/>
    <w:rsid w:val="006338F6"/>
    <w:rsid w:val="006409F3"/>
    <w:rsid w:val="00643EA1"/>
    <w:rsid w:val="00677FEB"/>
    <w:rsid w:val="006A018E"/>
    <w:rsid w:val="006A263E"/>
    <w:rsid w:val="006B334E"/>
    <w:rsid w:val="006B3D57"/>
    <w:rsid w:val="006B528B"/>
    <w:rsid w:val="00707AC1"/>
    <w:rsid w:val="00722BEC"/>
    <w:rsid w:val="00725F2C"/>
    <w:rsid w:val="00737A8E"/>
    <w:rsid w:val="00743D2D"/>
    <w:rsid w:val="00746342"/>
    <w:rsid w:val="00747DAD"/>
    <w:rsid w:val="00766E0E"/>
    <w:rsid w:val="00780DC8"/>
    <w:rsid w:val="00786420"/>
    <w:rsid w:val="00792633"/>
    <w:rsid w:val="007A04D0"/>
    <w:rsid w:val="007B06A5"/>
    <w:rsid w:val="007B6E7C"/>
    <w:rsid w:val="007B7BDB"/>
    <w:rsid w:val="007E4F32"/>
    <w:rsid w:val="00805FA5"/>
    <w:rsid w:val="00811C87"/>
    <w:rsid w:val="008231E2"/>
    <w:rsid w:val="0083235F"/>
    <w:rsid w:val="00840F14"/>
    <w:rsid w:val="00871DA8"/>
    <w:rsid w:val="00872A9D"/>
    <w:rsid w:val="008A2AC0"/>
    <w:rsid w:val="008A4458"/>
    <w:rsid w:val="008B63B2"/>
    <w:rsid w:val="008D100B"/>
    <w:rsid w:val="008F0B19"/>
    <w:rsid w:val="00915096"/>
    <w:rsid w:val="0091718E"/>
    <w:rsid w:val="00921B0A"/>
    <w:rsid w:val="00924CF0"/>
    <w:rsid w:val="009422D4"/>
    <w:rsid w:val="0094530E"/>
    <w:rsid w:val="00982A64"/>
    <w:rsid w:val="009845AE"/>
    <w:rsid w:val="009B1A2B"/>
    <w:rsid w:val="009B4F4C"/>
    <w:rsid w:val="009B714F"/>
    <w:rsid w:val="009E6EDC"/>
    <w:rsid w:val="009E7609"/>
    <w:rsid w:val="00A13890"/>
    <w:rsid w:val="00A5589B"/>
    <w:rsid w:val="00A71414"/>
    <w:rsid w:val="00A73AF6"/>
    <w:rsid w:val="00A7669D"/>
    <w:rsid w:val="00A9750C"/>
    <w:rsid w:val="00AA4DBD"/>
    <w:rsid w:val="00AC3A35"/>
    <w:rsid w:val="00AC5DA8"/>
    <w:rsid w:val="00AE26B4"/>
    <w:rsid w:val="00B13BB4"/>
    <w:rsid w:val="00B27050"/>
    <w:rsid w:val="00B73866"/>
    <w:rsid w:val="00B82133"/>
    <w:rsid w:val="00B90D66"/>
    <w:rsid w:val="00BD2B8C"/>
    <w:rsid w:val="00BF46CD"/>
    <w:rsid w:val="00C05271"/>
    <w:rsid w:val="00C05F49"/>
    <w:rsid w:val="00C20EF1"/>
    <w:rsid w:val="00C32644"/>
    <w:rsid w:val="00C535A6"/>
    <w:rsid w:val="00C54591"/>
    <w:rsid w:val="00C64154"/>
    <w:rsid w:val="00C763E0"/>
    <w:rsid w:val="00C83737"/>
    <w:rsid w:val="00CA073A"/>
    <w:rsid w:val="00CD0C6C"/>
    <w:rsid w:val="00CD0F06"/>
    <w:rsid w:val="00CD5B3B"/>
    <w:rsid w:val="00CE51DC"/>
    <w:rsid w:val="00CE6403"/>
    <w:rsid w:val="00CF1CFE"/>
    <w:rsid w:val="00D06E9C"/>
    <w:rsid w:val="00D1350A"/>
    <w:rsid w:val="00D313E5"/>
    <w:rsid w:val="00D41CB5"/>
    <w:rsid w:val="00D65B6A"/>
    <w:rsid w:val="00D86F1D"/>
    <w:rsid w:val="00DE5580"/>
    <w:rsid w:val="00E05455"/>
    <w:rsid w:val="00E074B6"/>
    <w:rsid w:val="00E562FC"/>
    <w:rsid w:val="00E66FFD"/>
    <w:rsid w:val="00E80D5E"/>
    <w:rsid w:val="00EA0F6C"/>
    <w:rsid w:val="00EE32F2"/>
    <w:rsid w:val="00EE7FBE"/>
    <w:rsid w:val="00EF5AD6"/>
    <w:rsid w:val="00F04FA3"/>
    <w:rsid w:val="00F220BF"/>
    <w:rsid w:val="00F54CE0"/>
    <w:rsid w:val="00F56471"/>
    <w:rsid w:val="00F67D20"/>
    <w:rsid w:val="00F91B22"/>
    <w:rsid w:val="00F942FA"/>
    <w:rsid w:val="00FB6755"/>
    <w:rsid w:val="00FB6D27"/>
    <w:rsid w:val="00FC4284"/>
    <w:rsid w:val="00FE2F2C"/>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B6E1C"/>
  <w14:defaultImageDpi w14:val="300"/>
  <w15:docId w15:val="{708F1DBC-9BB3-408F-B5DE-1B10E21C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A5"/>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unhideWhenUsed/>
    <w:rsid w:val="00805FA5"/>
    <w:pPr>
      <w:spacing w:after="0"/>
      <w:ind w:left="0"/>
    </w:pPr>
    <w:rPr>
      <w:sz w:val="16"/>
      <w:szCs w:val="20"/>
    </w:rPr>
  </w:style>
  <w:style w:type="character" w:customStyle="1" w:styleId="FootnoteTextChar">
    <w:name w:val="Footnote Text Char"/>
    <w:basedOn w:val="DefaultParagraphFont"/>
    <w:link w:val="FootnoteText"/>
    <w:uiPriority w:val="99"/>
    <w:rsid w:val="00805FA5"/>
    <w:rPr>
      <w:rFonts w:ascii="Trebuchet MS" w:hAnsi="Trebuchet MS"/>
      <w:sz w:val="16"/>
    </w:rPr>
  </w:style>
  <w:style w:type="character" w:styleId="FootnoteReference">
    <w:name w:val="footnote reference"/>
    <w:basedOn w:val="DefaultParagraphFont"/>
    <w:uiPriority w:val="99"/>
    <w:semiHidden/>
    <w:unhideWhenUsed/>
    <w:rsid w:val="00805FA5"/>
    <w:rPr>
      <w:rFonts w:ascii="Trebuchet MS" w:hAnsi="Trebuchet MS"/>
      <w:b w:val="0"/>
      <w:i w:val="0"/>
      <w:vertAlign w:val="superscript"/>
    </w:rPr>
  </w:style>
  <w:style w:type="paragraph" w:customStyle="1" w:styleId="Stil1">
    <w:name w:val="Stil1"/>
    <w:basedOn w:val="FootnoteText"/>
    <w:link w:val="Stil1Caracter"/>
    <w:qFormat/>
    <w:rsid w:val="00780DC8"/>
  </w:style>
  <w:style w:type="character" w:customStyle="1" w:styleId="Stil1Caracter">
    <w:name w:val="Stil1 Caracter"/>
    <w:basedOn w:val="FootnoteTextChar"/>
    <w:link w:val="Stil1"/>
    <w:rsid w:val="00780DC8"/>
    <w:rPr>
      <w:rFonts w:ascii="Trebuchet MS" w:hAnsi="Trebuchet MS"/>
      <w:sz w:val="16"/>
    </w:rPr>
  </w:style>
  <w:style w:type="paragraph" w:customStyle="1" w:styleId="Stil2">
    <w:name w:val="Stil2"/>
    <w:basedOn w:val="FootnoteText"/>
    <w:qFormat/>
    <w:rsid w:val="00780DC8"/>
  </w:style>
  <w:style w:type="paragraph" w:customStyle="1" w:styleId="Stil3">
    <w:name w:val="Stil3"/>
    <w:basedOn w:val="FootnoteText"/>
    <w:link w:val="Stil3Caracter"/>
    <w:qFormat/>
    <w:rsid w:val="00805FA5"/>
  </w:style>
  <w:style w:type="character" w:customStyle="1" w:styleId="Stil3Caracter">
    <w:name w:val="Stil3 Caracter"/>
    <w:basedOn w:val="FootnoteTextChar"/>
    <w:link w:val="Stil3"/>
    <w:rsid w:val="00805FA5"/>
    <w:rPr>
      <w:rFonts w:ascii="Trebuchet MS" w:hAnsi="Trebuchet MS"/>
      <w:sz w:val="16"/>
    </w:rPr>
  </w:style>
  <w:style w:type="character" w:customStyle="1" w:styleId="l5def1">
    <w:name w:val="l5def1"/>
    <w:basedOn w:val="DefaultParagraphFont"/>
    <w:rsid w:val="0033554A"/>
    <w:rPr>
      <w:rFonts w:ascii="Arial" w:hAnsi="Arial" w:cs="Arial" w:hint="default"/>
      <w:color w:val="000000"/>
      <w:sz w:val="26"/>
      <w:szCs w:val="26"/>
    </w:rPr>
  </w:style>
  <w:style w:type="paragraph" w:styleId="ListParagraph">
    <w:name w:val="List Paragraph"/>
    <w:basedOn w:val="Normal"/>
    <w:uiPriority w:val="34"/>
    <w:qFormat/>
    <w:rsid w:val="00C64154"/>
    <w:pPr>
      <w:ind w:left="720"/>
      <w:contextualSpacing/>
    </w:pPr>
  </w:style>
  <w:style w:type="paragraph" w:styleId="NoSpacing">
    <w:name w:val="No Spacing"/>
    <w:uiPriority w:val="99"/>
    <w:qFormat/>
    <w:rsid w:val="00E66FFD"/>
    <w:pPr>
      <w:ind w:left="1701"/>
      <w:jc w:val="both"/>
    </w:pPr>
    <w:rPr>
      <w:rFonts w:ascii="Trebuchet MS" w:hAnsi="Trebuchet MS"/>
      <w:sz w:val="22"/>
      <w:szCs w:val="22"/>
    </w:rPr>
  </w:style>
  <w:style w:type="paragraph" w:customStyle="1" w:styleId="WW-TextBody">
    <w:name w:val="WW-Text Body"/>
    <w:basedOn w:val="Normal"/>
    <w:rsid w:val="00C83737"/>
    <w:pPr>
      <w:spacing w:after="0" w:line="240" w:lineRule="auto"/>
      <w:ind w:left="0"/>
      <w:jc w:val="left"/>
    </w:pPr>
    <w:rPr>
      <w:rFonts w:ascii="Helvetica" w:eastAsia="Arial Unicode MS" w:hAnsi="Helvetica" w:cs="Helvetica"/>
      <w:color w:val="000000"/>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828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0EB2C-010E-4DCC-9703-5833B3FB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220</TotalTime>
  <Pages>3</Pages>
  <Words>1259</Words>
  <Characters>7303</Characters>
  <Application>Microsoft Office Word</Application>
  <DocSecurity>0</DocSecurity>
  <Lines>60</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8545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Petruta Gabriela CUCU</cp:lastModifiedBy>
  <cp:revision>44</cp:revision>
  <cp:lastPrinted>2019-12-24T12:33:00Z</cp:lastPrinted>
  <dcterms:created xsi:type="dcterms:W3CDTF">2019-12-03T12:13:00Z</dcterms:created>
  <dcterms:modified xsi:type="dcterms:W3CDTF">2020-01-27T14:46:00Z</dcterms:modified>
</cp:coreProperties>
</file>